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C3" w:rsidRDefault="00E31FC3" w:rsidP="00E31FC3">
      <w:pPr>
        <w:rPr>
          <w:rFonts w:ascii="Times New Roman" w:eastAsia="Times New Roman" w:hAnsi="Times New Roman" w:cs="Times New Roman"/>
          <w:b/>
          <w:color w:val="060607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60607"/>
          <w:sz w:val="28"/>
          <w:szCs w:val="28"/>
          <w:highlight w:val="white"/>
        </w:rPr>
        <w:t>УДК: 811.112.2</w:t>
      </w:r>
    </w:p>
    <w:p w:rsidR="00E31FC3" w:rsidRDefault="00E31FC3" w:rsidP="00E31F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FC3" w:rsidRDefault="00E31FC3" w:rsidP="00E31F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Немецкий язык как язык межнационального общения в Европе</w:t>
      </w:r>
    </w:p>
    <w:p w:rsidR="00E31FC3" w:rsidRDefault="00E31FC3" w:rsidP="00E31FC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31FC3" w:rsidRDefault="00E31FC3" w:rsidP="00E31FC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Афонькина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Алина Дмитриевна </w:t>
      </w:r>
    </w:p>
    <w:p w:rsidR="00E31FC3" w:rsidRDefault="00E31FC3" w:rsidP="00E31FC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студентка 4 курса факультета иностранных языков учреждения образования «Государственный социально-гуманитарный университет», (г. Коломна, Россия)</w:t>
      </w:r>
    </w:p>
    <w:p w:rsidR="00E31FC3" w:rsidRDefault="00E31FC3" w:rsidP="00E31FC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статье рассматривается значение немецкого языка как средства межнационального общения в Европе. Анализируется его роль в рамках Европейского Союза, где немецкий является одним из официальных языков и второй по распространенности в качестве иностранного языка. Обсуждаются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экстра лингвистические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факторы, способствующие популяризации немецкого языка среди народов разных европейских стран. 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Немецкий язык, являясь одним из ключевых языков Европы, играет важную роль в культурном и межнациональном общении. С распространением интеграционных процессов в Европейском Союзе его значение становится особенно актуальным. Не только как официальный язык одной из ведущих экономик Европы, но и как второй по популярности иностранный язык, немецкий помогает укреплять связи между различными народами и культурами континента.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Распространение немецкого языка как языка межнационального общения нельзя рассматривать в отрыве от исторических, социально-экономических и культурных контекстов, в которых он развивается. На протяжении веков Германия оказывала значительное влияние на политическую и экономическую жизнь Европы, что способствовало формированию культурных и языковых связей. В условиях относительной глобализации и углубления интеграционных процессов, участие Германии в Европейском Союзе и её активная роль в международной политике делают немецкий язык важным инструментом для достижения консенсуса и решения общих проблем.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обусловлена значением немецкого языка в современном европейском обществе. Немецкий язык является одним из самых распространённых языков в Европе и официальным языком Германии, Австрии и Швейцарии. Знание немецкого языка открывает возможности для карьерного роста и межкультурного общения. Культурные связи и миграционные процессы также усиливают его значение как средства интеграции и взаимопонимания между народами.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Немецкий язык — родной для населения Германии (82,6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чел.), первенствующий по числу говорящих как на родном в зарубежной Европе, двенадцатый в мире. На немецком языке говорит более 100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человек. Он принадлежит к германской группе индоевропейских языков. 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Изобретение книгопечатания Иоганном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Гутенбергом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XV веке стало ключевым фактором для распространения и стандартизации немецкого языка. В 1455 году была напечатана "Библия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Гутенберга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", что положило начало тиражированию текстов на одном языке. В начале XV века в Германии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существовало множество диалектов и не было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единого литературного языка. Печатание способствовало формированию общего литературного стандарта, так как одинаковые тексты помогали читателям лучше понимать письменную форму языка. Распространение печатной продукции сделало литературу, научные и религиозные тексты доступными широкой аудитории, что ускорило развитие письменного и разговорного немецкого языка.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Гутенберг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печатал светскую литературу, что укрепило позиции немецкого языка и уменьшило влияние латинского языка, ранее доминировавшего в науке и религии [1]. 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Немецкий язык играет важную роль как средство межкультурного общения в Европе. Он не только является официальным языком Германии, Австрии и Швейцарии, но и широко используется как второй язык в ряде других европейских стран. Немецкий язык способствует экономическому, культурному и образовательному взаимодействию среди стран ЕС, что делает его ключевым инструментом в дипломатии и бизнесе. Например, многие международные организации, такие как Европейский Союз, используют немецкий как один из рабочих языков, что обеспечивает доступ к информации и возможности сотрудничества для стран, где немецкий не является родным языком.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Кроме того, немецкий язык служит связующим звеном для культурного обмена. Множество выдающихся произведений литературы, философии и наук написано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немецком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что открывает двери для изучения богатого культурного наследия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немецкоговорящих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стран. Например, работы таких мыслителей, как Гёте, Кант и Ницше, формируют основы не только немецкой, но и европейской философской традиции.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Журнал пишет, что «Немецкий язык чуть было не стал национальным языком США — настолько высоким был процент иммигрантов из Германии. Только в период с 1815 по 1914 г. примерно 5,5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немцев эмигрировали в Соединенные Штаты [4]. 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Немецкий язык уступает английскому по числу говорящих и распространению в международной жизни, в том числе в политических, экономических, культурных и научных областях. Тем не менее, он занимает важное место как язык науки, особенно в экономике и химии, коммерции и финансах. Каждая десятая книга в мире издается на немецком языке, и немецкий язык является третьим по количеству переводов после английского и французского. Немецкий язык также лидирует в переводе литературы, что повышает его престиж. Крупнейшими издательскими центрами Германии являются Мюнхен, Берлин и Франкфурт-на-Майне, за которыми следуют Штутгарт, Кёльн и Гамбург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[2]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Германия, обладая богатейшей культурой и историей, предоставляет множество причин для изучения немецкого языка. Ее культурное влияние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глобально, а экономическая мощь делает владение языком ценным активом на рынке труда. Немецкая литературная традиция, начиная с Гёте и Шиллера, вдохновляет художников и музыкантов. Влияние романтической школы на живопись и музыку велико. Классические композиторы, как Бах и Бетховен, и современные исполнители обеспечивают значимость немецкой музыки. Театральное искусство разнообразно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инновационно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немецкий кинематограф, представленный фестивалями в Берлине и Мюнхене, освещает современные проблемы. Архитектурное наследие, от средневековых замков до модернизма, привлекает туристов и архитекторов.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Германия предлагает высококачественное высшее образование, многие университеты входят в мировые рейтинги и предлагают англоязычные программы. Знание немецкого языка расширяет доступ к большему числу программ и специализаций. Программы, такие как DAAD, способствуют распространению немецкого языка и обмену опытом между студентами и преподавателями. Существуют также стипендиальные программы и гранты для иностранных студентов, что облегчает учебу в стране. Система профессионально-технического образования славится высоким качеством и практической направленностью. Программы обмена, такие как "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Au-pair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" и "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Volontariat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," позволяют молодым людям погрузиться в немецкую культуру и активно практиковать язык в повседневной жизни, что способствует улучшению языковых навыков и пониманию немецкой культуры.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Германия является одной из самых мощных экономик мира, что создаёт высокий спрос на специалистов, владеющих немецким языком. Множество международных компаний, таких как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Volkswagen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Siemens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BMW,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Daimler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Bosch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и SAP, имеют свои головные офисы и филиалы в Германии и по всему миру. Знание немецкого языка является важным преимуществом при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трудоустройстве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как в самой Германии, так и за рубежом. Высокий уровень жизни и конкурентоспособные зарплаты также стимулируют изучение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немецкого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. Германия активно инвестирует в другие страны, что увеличивает потребность в специалистах, способных эффективно взаимодействовать с немецкими инвесторами и партнёрами. Владение немецким языком открывает широкий спектр карьерных возможностей в таких областях, как инженерия, автомобилестроение, финансы и туризм.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Немецкий язык является одним из 24 официальных языков Европейского Союза и закрепляет своё положение в международной коммуникации. Его статус официального языка ЕС повышает престиж и создает потребность в его знании среди сотрудников европейских институтов, таких как парламентарии и бюрократы. Это приводит к устойчивому спросу на переводчиков и специалистов с высоким уровнем владения немецким языком, поддерживая его актуальность на глобальном рынке труда. Активное участие Германии в международных организациях, таких как ООН и НАТО, а также её значительная роль в формировании европейской политики способствуют распространению немецкого языка как языка дипломатии и делового общения [3].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Немецкий язык играет ключевую роль в различных международных организациях, связанных с Европейским Союзом и его культурными, образовательными и политическими инициативами. 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рамках ЮНЕСКО немецкий язык также имеет значительное значение. Германия активно участвует в программах по охране культурного наследия, включая объекты, внесенные в список Всемирного наследия ЮНЕСКО. К числу таких объектов относятся: Кафедральный собор в Кёльне, старый город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Вурцбурге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национальный парк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Швабская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Швахалль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Немецкий язык используется в документации и коммуникации, касающейся охраны и популяризации этих объектов.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Германия, как важный член ООН, активно использует немецкий язык в своих делегациях. Хотя многие дипломаты владеют английским и другими языками, родной язык часто используется в неформальных обсуждениях, что ускоряет коммуникацию и улучшает работу, особенно при подготовке к голосованиям и соглашениям. Немецкий также служит языком внутренней коммуникации в рабочих группах и комитетах, а немецкие НПО используют его в документации и общении с государственными институтами, что оптимизирует обмен информацией.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Заключение</w:t>
      </w:r>
    </w:p>
    <w:p w:rsidR="00E31FC3" w:rsidRDefault="00E31FC3" w:rsidP="00E31FC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Немецкий язык, обладая богатым культурным и историческим наследием, занимает важное место в качестве языка межнационального общения в Европе. Его распространение не ограничивается территорией Германии, он также широко используется в других странах, что делает его ключевым инструментом для культурного и политического взаимодействия в Евросоюзе. Немецкий язык не только объединяет людей, но и способствует формированию единого европейского сообщества, где разнообразие языков и культур воспринимается как ценность. Его роль в межнациональном общении остается актуальной и продолжает развиваться, создавая новые возможности для взаимопонимания и сотрудничества в многонациональном европейском контексте.</w:t>
      </w:r>
    </w:p>
    <w:p w:rsidR="00E31FC3" w:rsidRDefault="00E31FC3" w:rsidP="00E31FC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FC3" w:rsidRDefault="00E31FC3" w:rsidP="00E31FC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E31FC3" w:rsidRDefault="00E31FC3" w:rsidP="00E31F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Бидструп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Бёрнт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"История книгопечатания: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Гутенберга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 цифровой эпохи". М.: Издательство "Наука", 2018.</w:t>
      </w:r>
    </w:p>
    <w:p w:rsidR="00E31FC3" w:rsidRDefault="00E31FC3" w:rsidP="00E31F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Раковский С.Н. </w:t>
      </w:r>
      <w:r>
        <w:rPr>
          <w:rFonts w:ascii="Times New Roman" w:hAnsi="Times New Roman" w:cs="Times New Roman"/>
          <w:bCs/>
          <w:sz w:val="28"/>
          <w:szCs w:val="28"/>
        </w:rPr>
        <w:t>Немецкий язык — один из мировых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международных языков [Электронный ресурс]. / </w:t>
      </w:r>
      <w:r>
        <w:rPr>
          <w:rFonts w:ascii="Times New Roman" w:hAnsi="Times New Roman" w:cs="Times New Roman"/>
          <w:sz w:val="28"/>
          <w:szCs w:val="28"/>
        </w:rPr>
        <w:t xml:space="preserve">С.Н. Раковский. – Режим доступа: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lang w:val="en-US"/>
          </w:rPr>
          <w:t>https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</w:rPr>
          <w:t>://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lang w:val="en-US"/>
          </w:rPr>
          <w:t>geo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</w:rPr>
          <w:t>.1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lang w:val="en-US"/>
          </w:rPr>
          <w:t>sept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lang w:val="en-US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lang w:val="en-US"/>
          </w:rPr>
          <w:t>article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lang w:val="en-US"/>
          </w:rPr>
          <w:t>php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</w:rPr>
          <w:t>?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lang w:val="en-US"/>
          </w:rPr>
          <w:t>ID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</w:rPr>
          <w:t>=200404403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,</w:t>
      </w:r>
    </w:p>
    <w:p w:rsidR="00E31FC3" w:rsidRPr="00E31FC3" w:rsidRDefault="00E31FC3" w:rsidP="00E31F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de-DE"/>
        </w:rPr>
      </w:pPr>
      <w:r w:rsidRPr="00E31FC3">
        <w:rPr>
          <w:rFonts w:ascii="Times New Roman" w:eastAsia="Times New Roman" w:hAnsi="Times New Roman" w:cs="Times New Roman"/>
          <w:sz w:val="28"/>
          <w:szCs w:val="28"/>
          <w:highlight w:val="white"/>
          <w:lang w:val="de-DE"/>
        </w:rPr>
        <w:t xml:space="preserve">"Die Rolle der deutschen Sprache in Europa" 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Европейский</w:t>
      </w:r>
      <w:r w:rsidRPr="00E31FC3">
        <w:rPr>
          <w:rFonts w:ascii="Times New Roman" w:eastAsia="Times New Roman" w:hAnsi="Times New Roman" w:cs="Times New Roman"/>
          <w:sz w:val="28"/>
          <w:szCs w:val="28"/>
          <w:highlight w:val="white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центр</w:t>
      </w:r>
      <w:r w:rsidRPr="00E31FC3">
        <w:rPr>
          <w:rFonts w:ascii="Times New Roman" w:eastAsia="Times New Roman" w:hAnsi="Times New Roman" w:cs="Times New Roman"/>
          <w:sz w:val="28"/>
          <w:szCs w:val="28"/>
          <w:highlight w:val="white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языков</w:t>
      </w:r>
      <w:r w:rsidRPr="00E31FC3">
        <w:rPr>
          <w:rFonts w:ascii="Times New Roman" w:eastAsia="Times New Roman" w:hAnsi="Times New Roman" w:cs="Times New Roman"/>
          <w:sz w:val="28"/>
          <w:szCs w:val="28"/>
          <w:highlight w:val="white"/>
          <w:lang w:val="de-DE"/>
        </w:rPr>
        <w:t>, 2021.</w:t>
      </w:r>
    </w:p>
    <w:p w:rsidR="00E31FC3" w:rsidRDefault="00E31FC3" w:rsidP="00E31F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"German: The Language that Almost Became America’s Second Official Language" – Article on the website of the Smithsonian Magazine, published on March, 2016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31FC3" w:rsidRDefault="00E31FC3" w:rsidP="00E31FC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</w:p>
    <w:p w:rsidR="00E31FC3" w:rsidRDefault="00E31FC3">
      <w:pPr>
        <w:spacing w:after="200"/>
        <w:rPr>
          <w:lang w:val="en-US"/>
        </w:rPr>
      </w:pPr>
      <w:r>
        <w:rPr>
          <w:lang w:val="en-US"/>
        </w:rPr>
        <w:br w:type="page"/>
      </w:r>
    </w:p>
    <w:p w:rsidR="00E31FC3" w:rsidRDefault="00E31FC3" w:rsidP="00E31FC3">
      <w:pPr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УДК (811.161.3+811.512.161)’373.45(045)</w:t>
      </w:r>
    </w:p>
    <w:p w:rsidR="00E31FC3" w:rsidRDefault="00E31FC3" w:rsidP="00E31FC3">
      <w:pPr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E31FC3" w:rsidRDefault="00E31FC3" w:rsidP="00E31FC3">
      <w:pPr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ГРАФІКА-АРФАГРАФІЧНАЕ 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>СВАЕННЕ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НАЙНОЎШЫХ АНГЛАМОЎНЫХ ЗАПАЗЫЧАННЯЎ У РОЗНАСТРУКТУРНЫХ МОВАХ (НА МАТЭРЫЯЛЕ ТУРЭЦКАЙ І БЕЛАРУСКАЙ МОЎ)</w:t>
      </w:r>
    </w:p>
    <w:p w:rsidR="00E31FC3" w:rsidRDefault="00E31FC3" w:rsidP="00E31FC3">
      <w:pPr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31FC3" w:rsidRDefault="00E31FC3" w:rsidP="00E31FC3">
      <w:pPr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Мішурная Юлія Вячаславаўна</w:t>
      </w:r>
    </w:p>
    <w:p w:rsidR="00E31FC3" w:rsidRDefault="00E31FC3" w:rsidP="00E31FC3">
      <w:pPr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выкладчык кафедры гісторыі і граматыкі англійскай мовы ўстановы адукацыі «Мінскі дзяржаўны лінгвістычны універсітэт»</w:t>
      </w:r>
    </w:p>
    <w:p w:rsidR="00E31FC3" w:rsidRDefault="00E31FC3" w:rsidP="00E31FC3">
      <w:pPr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(г. Мінск, Беларусь)</w:t>
      </w:r>
    </w:p>
    <w:p w:rsidR="00E31FC3" w:rsidRDefault="00E31FC3" w:rsidP="00E31FC3">
      <w:pPr>
        <w:spacing w:line="240" w:lineRule="auto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</w:p>
    <w:p w:rsidR="00E31FC3" w:rsidRDefault="00E31FC3" w:rsidP="00E31F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be-BY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Артыкул прысвечаны апісанню асноўных заканамернасцей графіка-арфаграфічнага засваення найноўшых англамоўных запазычанняў у рознаструктурных і генетычна аддаленых турэцкай і беларускай мовах. У супастаўляльным аспекце выяўляюцца спосабы і вызначаецца ступень графіка-арфаграфічнай адаптацыі англіцызмаў у кожнай з моў, якія даследуюцца. 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мяжы новага тысячагоддзя ва ўмовах моўнай глабалізацыі лексічны фонд турэцкай і беларускай моў актыўна ўзбагачаецца новымі намінацыйнымі сродкамі за кошт запазычанняў з англійскай мовы як асноўнай мовы-донара сучаснай эпохі.</w:t>
      </w:r>
      <w:r>
        <w:rPr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Для такіх адзінак, якія пранікаюць у няроднасныя для англійскай мовы турэцкую і беларускую, новае асяроддзе аказваецца чужародным, і менавіта па гэтай прычыне існуе неабходнасць іх паступовай адаптацыі да новых нормаў.</w:t>
      </w:r>
      <w:r>
        <w:rPr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Значным этапам засваення запазычанняў з’яўляецца графіка-арфаграфічная адаптацыя, якая прадугледжвае перакадзіроўку графічнага складу чужой лексічнай адзінкі сваімі графічнымі сродкамі з улікам існуючых у мове прынцыпаў арфаграфіі [1, с. 119].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Важным у перапрацоўцы графічнага аблічча запазычанага слова аказваецца пытанне, што павінна паслужыць узорам для перадачы яго пісьмовай формы ў новым моўным асяроддзі: спрадвечнае гучанне, уласцівае яго прататыпу ў англійскай мове, або спрадвечны літарны склад, і ці магчыма поўнае захаванне яго графіка-арфаграфічнай формы ў мове-рэцыпіенце.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Аналіз выбарак паказаў, што для турэцкай мовы характэрна тэндэнцыя капіравання англіцызмамі аўтэнтычнай абалонкі сваіх прататыпаў у мове-донары (прыблізна больш за палову слоў у турэцкай факталагічнай базе).</w:t>
      </w:r>
      <w:r>
        <w:rPr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Гэта тлумачыцца, з аднаго боку, падабенствам алфавітаў турэцкай і англійскай моў, заснаваных на агульнай лацінскай сістэме пісьма, што значна палягчае механічны перанос слоў з адной сістэмы ў іншую без неабходнасці мадыфікацыі іх графіка-арфаграфічнай формы; з другога, перавагай пісьмовага шляху запазычання новых слоў у турэцкую мову ў цяперашні час.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Некаторыя з такіх запазычанняў захоўваюць у сваім складзе элементы англійскай графічнай сістэмы, напрыклад, некаторыя літары, літараспалучэнні, не характэрныя для турэцкага пісьменства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w</w:t>
      </w:r>
      <w:r>
        <w:rPr>
          <w:rFonts w:ascii="Times New Roman" w:hAnsi="Times New Roman" w:cs="Times New Roman"/>
          <w:i/>
          <w:iCs/>
          <w:sz w:val="28"/>
          <w:szCs w:val="28"/>
        </w:rPr>
        <w:t>ebinar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‘вэбінар’,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tr-TR"/>
        </w:rPr>
        <w:t xml:space="preserve"> th</w:t>
      </w:r>
      <w:r>
        <w:rPr>
          <w:rFonts w:ascii="Times New Roman" w:hAnsi="Times New Roman" w:cs="Times New Roman"/>
          <w:i/>
          <w:iCs/>
          <w:sz w:val="28"/>
          <w:szCs w:val="28"/>
          <w:lang w:val="tr-TR"/>
        </w:rPr>
        <w:t>ink tank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‘мазгавы штурм’,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card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‘чып-карта’ і інш.), а таксама назіраецца выкарыстанне апострафа і злучка ў нерэгламентаванай для іх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функцыі (</w:t>
      </w:r>
      <w:r>
        <w:rPr>
          <w:rFonts w:ascii="Times New Roman" w:hAnsi="Times New Roman" w:cs="Times New Roman"/>
          <w:i/>
          <w:iCs/>
          <w:sz w:val="28"/>
          <w:szCs w:val="28"/>
          <w:lang w:val="tr-TR"/>
        </w:rPr>
        <w:t>drum’n’bass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‘драм-н-бэйс’,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check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‘чэк-ін’</w:t>
      </w:r>
      <w:r>
        <w:rPr>
          <w:rFonts w:ascii="Times New Roman" w:hAnsi="Times New Roman" w:cs="Times New Roman"/>
          <w:sz w:val="28"/>
          <w:szCs w:val="28"/>
          <w:lang w:val="be-BY"/>
        </w:rPr>
        <w:t>). Гэта ўсё можа прывесці да дэстабілізацыі турэцкай графіка-арфаграфічнай сістэмы і стаць вынікам пашырэння моўных норм.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беларускай мове таксама сустракаюцца англамоўныя словы, якія захоўваюць арыгінальнае напісанне сваіх прататыпаў. Як правіла, такія адзінкі знаходзяцца на пачатковым этапе ўваходжання ў мову або з’яўляюцца фактам аказіянальнага ўжывання: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Event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-менеджар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прадставіла на кастынгу невялікія вершы пра кожны клуб КХЛ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(Звязда, 16.02.2024).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адрозненне ад турэцкай мовы, больш за 70 % новых слоў, прадстаўленых у беларускай факталагічнай базе, транскрыбуюцца і паўтараюць гучанне англамоўнага прататыпа пры перадачы іх аблічча сродкамі кірылічнага алфавіту: 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хэндс-фры </w:t>
      </w:r>
      <w:r>
        <w:rPr>
          <w:rFonts w:ascii="Times New Roman" w:hAnsi="Times New Roman" w:cs="Times New Roman"/>
          <w:sz w:val="28"/>
          <w:szCs w:val="28"/>
          <w:lang w:val="be-BY"/>
        </w:rPr>
        <w:t>← англ.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hands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free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[ˈhændz friː],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be-BY"/>
        </w:rPr>
        <w:t>браўзер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← англ.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browser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[ˈbraʊzə(r)] </w:t>
      </w:r>
      <w:r>
        <w:rPr>
          <w:rFonts w:ascii="Times New Roman" w:hAnsi="Times New Roman" w:cs="Times New Roman"/>
          <w:sz w:val="28"/>
          <w:szCs w:val="28"/>
          <w:lang w:val="be-BY"/>
        </w:rPr>
        <w:t>і інш. Гэта абумоўлена, трэба меркаваць, інтэрнацыянальным характарам большасці такіх слоў, якія гучаць прыкладна аднолькава ў многіх мовах, што робіць іх больш распазнавальнымі і значна палягчае працэс камунікацыі.</w:t>
      </w:r>
      <w:r>
        <w:rPr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 турэцкай жа мове транскрыбаваныя англіцызмы сустракаюцца радзей і таксама сведчыць аб вусным спосабе запазычання такіх адзінак: </w:t>
      </w:r>
      <w:r>
        <w:rPr>
          <w:rFonts w:ascii="Times New Roman" w:hAnsi="Times New Roman" w:cs="Times New Roman"/>
          <w:i/>
          <w:iCs/>
          <w:sz w:val="28"/>
          <w:szCs w:val="28"/>
          <w:lang w:val="tr-TR"/>
        </w:rPr>
        <w:t>tişört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bookmarkStart w:id="0" w:name="_Hlk184769395"/>
      <w:r>
        <w:rPr>
          <w:rFonts w:ascii="Times New Roman" w:hAnsi="Times New Roman" w:cs="Times New Roman"/>
          <w:sz w:val="28"/>
          <w:szCs w:val="28"/>
          <w:lang w:val="be-BY"/>
        </w:rPr>
        <w:t>← англ.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shirt</w:t>
      </w:r>
      <w:r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>ˈ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>ː ʃɜː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rt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bookmarkEnd w:id="0"/>
      <w:r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pleyboy </w:t>
      </w:r>
      <w:r>
        <w:rPr>
          <w:rFonts w:ascii="Times New Roman" w:hAnsi="Times New Roman" w:cs="Times New Roman"/>
          <w:sz w:val="28"/>
          <w:szCs w:val="28"/>
          <w:lang w:val="be-BY"/>
        </w:rPr>
        <w:t>← англ.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playboy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>ˈ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ple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>ɪ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>ɔɪ</w:t>
      </w:r>
      <w:r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інш. 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be-BY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абедзвюх мовах выяўлены выпадкі перадачы графіка-арфаграфічнай абалонкі з апорай на транслітарацыю, аднак такі спосаб не з’яўляецца прадуктыўным:</w:t>
      </w:r>
      <w:bookmarkStart w:id="1" w:name="_Hlk184769805"/>
      <w:r>
        <w:rPr>
          <w:rFonts w:ascii="Times New Roman" w:hAnsi="Times New Roman" w:cs="Times New Roman"/>
          <w:sz w:val="28"/>
          <w:szCs w:val="28"/>
          <w:lang w:val="be-BY"/>
        </w:rPr>
        <w:t xml:space="preserve"> тур. </w:t>
      </w:r>
      <w:r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karavan </w:t>
      </w:r>
      <w:r>
        <w:rPr>
          <w:rFonts w:ascii="Times New Roman" w:hAnsi="Times New Roman" w:cs="Times New Roman"/>
          <w:sz w:val="28"/>
          <w:szCs w:val="28"/>
          <w:lang w:val="be-BY"/>
        </w:rPr>
        <w:t>‘дом-аўтапрычэп’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← англ.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caravan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tr-TR"/>
        </w:rPr>
        <w:t>,</w:t>
      </w:r>
      <w:bookmarkEnd w:id="1"/>
      <w:r>
        <w:rPr>
          <w:rFonts w:ascii="Times New Roman" w:hAnsi="Times New Roman" w:cs="Times New Roman"/>
          <w:sz w:val="28"/>
          <w:szCs w:val="28"/>
          <w:lang w:val="be-BY"/>
        </w:rPr>
        <w:t xml:space="preserve"> бел. 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харасмент </w:t>
      </w:r>
      <w:r>
        <w:rPr>
          <w:rFonts w:ascii="Times New Roman" w:hAnsi="Times New Roman" w:cs="Times New Roman"/>
          <w:sz w:val="28"/>
          <w:szCs w:val="28"/>
          <w:lang w:val="be-BY"/>
        </w:rPr>
        <w:t>← англ.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harassment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 інш. У цэлым нельга не адзначыць, што транслітарацыя як спосаб засваення запазычанняў не вельмі ідэальны, паколькі не для ўсіх элементаў англійскай графічнай сістэмы магчыма знайсці поўныя графічныя аналагі ў мовах-рэцыпіентах нават з улікаў мноства стандартаў транслітарацыі.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турэцкай мове зафіксаваны словы, спосаб графічнага асваення якіх не паддаецца дакладнаму вызначэнню.</w:t>
      </w:r>
      <w:r>
        <w:rPr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 прыватнасці, ні гукавая ні графічная форма такіх адзінак, як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blokzincir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‘блокчэйн’</w:t>
      </w:r>
      <w:r>
        <w:rPr>
          <w:rFonts w:ascii="Times New Roman" w:hAnsi="Times New Roman" w:cs="Times New Roman"/>
          <w:sz w:val="28"/>
          <w:szCs w:val="28"/>
          <w:lang w:val="tr-TR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tr-TR"/>
        </w:rPr>
        <w:t>avro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‘еўра’ і інш. не супадае з іх прататыпамі ў англійскай мове (пар. англ.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blockchain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[</w:t>
      </w:r>
      <w:r>
        <w:rPr>
          <w:rStyle w:val="ipa"/>
          <w:rFonts w:ascii="Times New Roman" w:hAnsi="Times New Roman" w:cs="Times New Roman"/>
          <w:sz w:val="28"/>
          <w:szCs w:val="28"/>
          <w:lang w:val="be-BY"/>
        </w:rPr>
        <w:t>ˈ</w:t>
      </w:r>
      <w:proofErr w:type="spellStart"/>
      <w:r>
        <w:rPr>
          <w:rStyle w:val="ipa"/>
          <w:rFonts w:ascii="Times New Roman" w:hAnsi="Times New Roman" w:cs="Times New Roman"/>
          <w:sz w:val="28"/>
          <w:szCs w:val="28"/>
        </w:rPr>
        <w:t>bl</w:t>
      </w:r>
      <w:proofErr w:type="spellEnd"/>
      <w:r>
        <w:rPr>
          <w:rStyle w:val="ipa"/>
          <w:rFonts w:ascii="Times New Roman" w:hAnsi="Times New Roman" w:cs="Times New Roman"/>
          <w:sz w:val="28"/>
          <w:szCs w:val="28"/>
          <w:lang w:val="be-BY"/>
        </w:rPr>
        <w:t>ɒ</w:t>
      </w:r>
      <w:proofErr w:type="spellStart"/>
      <w:r>
        <w:rPr>
          <w:rStyle w:val="ipa"/>
          <w:rFonts w:ascii="Times New Roman" w:hAnsi="Times New Roman" w:cs="Times New Roman"/>
          <w:sz w:val="28"/>
          <w:szCs w:val="28"/>
        </w:rPr>
        <w:t>kt</w:t>
      </w:r>
      <w:proofErr w:type="spellEnd"/>
      <w:r>
        <w:rPr>
          <w:rStyle w:val="ipa"/>
          <w:rFonts w:ascii="Times New Roman" w:hAnsi="Times New Roman" w:cs="Times New Roman"/>
          <w:sz w:val="28"/>
          <w:szCs w:val="28"/>
          <w:lang w:val="be-BY"/>
        </w:rPr>
        <w:t>ʃ</w:t>
      </w:r>
      <w:r>
        <w:rPr>
          <w:rStyle w:val="ipa"/>
          <w:rFonts w:ascii="Times New Roman" w:hAnsi="Times New Roman" w:cs="Times New Roman"/>
          <w:sz w:val="28"/>
          <w:szCs w:val="28"/>
        </w:rPr>
        <w:t>e</w:t>
      </w:r>
      <w:r>
        <w:rPr>
          <w:rStyle w:val="ipa"/>
          <w:rFonts w:ascii="Times New Roman" w:hAnsi="Times New Roman" w:cs="Times New Roman"/>
          <w:sz w:val="28"/>
          <w:szCs w:val="28"/>
          <w:lang w:val="be-BY"/>
        </w:rPr>
        <w:t>ɪ</w:t>
      </w:r>
      <w:r>
        <w:rPr>
          <w:rStyle w:val="ipa"/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be-BY"/>
        </w:rPr>
        <w:t>],</w:t>
      </w:r>
      <w:r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euro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[ˈ</w:t>
      </w:r>
      <w:r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  <w:lang w:val="be-BY"/>
        </w:rPr>
        <w:t>ʊ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lang w:val="be-BY"/>
        </w:rPr>
        <w:t>əʊ]). Прычына ў тым, што дадзеныя словы былі запазычаны вусным спосабам, і іх матэрыяльная абалонка ў працэсе запазычання падвергнулася ў пэўнай меры скажэнню пад уплывам фактараў асістэмнага характару, звязаных, як бачыцца, з некарэктным вымаўленнем іх англамоўных прататыпаў носьбітамі турэцкай мовы, якое паступова замацавалася ў літаратурнай мове як нарматыўны варыянт.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у турэцкай, як і беларускай мовах функцыянуюць адзінкі, якія дэманструюць графіка-арфаграфічную нестабільнасць і варыятыўнасць сваёй формы.</w:t>
      </w:r>
      <w:r>
        <w:rPr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 беларускай мове варыянтныя пары адрозніваюцца, як правіла, напісаннем галосных літар, напрыклад, 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птоп – 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птоп, віндс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рфінг – віндс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рфінг </w:t>
      </w:r>
      <w:r>
        <w:rPr>
          <w:rFonts w:ascii="Times New Roman" w:hAnsi="Times New Roman" w:cs="Times New Roman"/>
          <w:sz w:val="28"/>
          <w:szCs w:val="28"/>
          <w:lang w:val="be-BY"/>
        </w:rPr>
        <w:t>і інш.,</w:t>
      </w:r>
      <w:r>
        <w:rPr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 тлумачацца выкарыстаннем розных спосабаў перадачы аднаго і таго ж англамоўнага прататыпа і адсутнасцю поўных магчымых адпаведнікаў паміж англійскімі і беларускімі фанемамі.</w:t>
      </w:r>
      <w:r>
        <w:rPr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 турэцкай мове варыяцыя заснавана пераважна на канкурэнцыі поўнага захавання графічнай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формы англамоўнага прататыпа і больш ці менш дакладнай передачы яе гучання сродкамі турэцкага алфавіту: </w:t>
      </w:r>
      <w:r>
        <w:rPr>
          <w:rFonts w:ascii="Times New Roman" w:hAnsi="Times New Roman" w:cs="Times New Roman"/>
          <w:i/>
          <w:iCs/>
          <w:sz w:val="28"/>
          <w:szCs w:val="28"/>
          <w:lang w:val="tr-TR"/>
        </w:rPr>
        <w:t>chat – çet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‘чат’</w:t>
      </w:r>
      <w:r>
        <w:rPr>
          <w:rFonts w:ascii="Times New Roman" w:hAnsi="Times New Roman" w:cs="Times New Roman"/>
          <w:sz w:val="28"/>
          <w:szCs w:val="28"/>
          <w:lang w:val="tr-TR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timing – tayming </w:t>
      </w:r>
      <w:r>
        <w:rPr>
          <w:rFonts w:ascii="Times New Roman" w:hAnsi="Times New Roman" w:cs="Times New Roman"/>
          <w:sz w:val="28"/>
          <w:szCs w:val="28"/>
          <w:lang w:val="tr-TR"/>
        </w:rPr>
        <w:t>‘</w:t>
      </w:r>
      <w:r>
        <w:rPr>
          <w:rFonts w:ascii="Times New Roman" w:hAnsi="Times New Roman" w:cs="Times New Roman"/>
          <w:sz w:val="28"/>
          <w:szCs w:val="28"/>
          <w:lang w:val="be-BY"/>
        </w:rPr>
        <w:t>таймінг</w:t>
      </w:r>
      <w:r>
        <w:rPr>
          <w:rFonts w:ascii="Times New Roman" w:hAnsi="Times New Roman" w:cs="Times New Roman"/>
          <w:sz w:val="28"/>
          <w:szCs w:val="28"/>
          <w:lang w:val="tr-TR"/>
        </w:rPr>
        <w:t>’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інш. </w:t>
      </w:r>
    </w:p>
    <w:p w:rsidR="00E31FC3" w:rsidRDefault="00E31FC3" w:rsidP="00E31FC3">
      <w:pPr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be-BY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Такім чынам, рэзюмуючы ўсё вышэйсказанае, можна заключыць, што графіка-арфаграфічная перапрацоўка найноўшых англамоўных запазычанняў у рознаструктурных турэцкай і беларускай мовах працякае ў цэлым па-рознаму з апорай на розныя спосабы графічнай адаптацыі ў выніку сістэмных фактараў і асаблівасцяў графікі кожнай з моў, а таксама з прычыны рознага спосабу запазычання. У беларускай мове вядучым спосабам графічнай адаптацыі англіцызмаў на сучасным этапе з’яўляецца транскрыбіраванне з максімальнай перадачай гучання англамоўнага прататыпа сродкамі кірылічнага алфавіту, што гаворыць пераважна аб вусным характары запазычання ў нашы дні.</w:t>
      </w:r>
      <w:r>
        <w:rPr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 турэцкай мове назіраецца ўстойлівая тэндэнцыя карэляцыі знешняга графічнага аблічча большай часткі англамоўных запазычанняў з іх прататыпамі у мове-донары і адсутнасці іх поўнай графіка-арфаграфічнай адаптацыі, што тлумачыцца перавагай пісьмовага шляху запазычання ў сучасную турэцкую мову, выкарыстаннем лацінскай графічнай сістэмы і нядаўнім часам уваходжання ў моўную сістэму.</w:t>
      </w:r>
    </w:p>
    <w:p w:rsidR="00E31FC3" w:rsidRDefault="00E31FC3" w:rsidP="00E31FC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31FC3" w:rsidRDefault="00E31FC3" w:rsidP="00E31F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Спіс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выкарыстанай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літаратуры</w:t>
      </w:r>
      <w:proofErr w:type="spellEnd"/>
    </w:p>
    <w:p w:rsidR="00E31FC3" w:rsidRDefault="00E31FC3" w:rsidP="00E31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Гринёв, С. В. Терминологические заимствования. (Краткий обзор современного состояния вопроса) / С. В. Гринёв // Лотте, Д. С. Вопросы заимствования и упорядочения иноязычных терминов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Д. С. Лотте. – М., 1982. – С. 108–135.</w:t>
      </w:r>
    </w:p>
    <w:p w:rsidR="00E31FC3" w:rsidRDefault="00E31FC3" w:rsidP="00E31FC3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be-BY"/>
        </w:rPr>
      </w:pPr>
    </w:p>
    <w:p w:rsidR="00E31FC3" w:rsidRDefault="00E31FC3" w:rsidP="00E31FC3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be-BY"/>
        </w:rPr>
      </w:pPr>
    </w:p>
    <w:p w:rsidR="00E31FC3" w:rsidRDefault="00E31FC3" w:rsidP="00E31FC3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be-BY"/>
        </w:rPr>
      </w:pPr>
    </w:p>
    <w:p w:rsidR="00292563" w:rsidRPr="00E31FC3" w:rsidRDefault="00292563">
      <w:pPr>
        <w:rPr>
          <w:lang w:val="be-BY"/>
        </w:rPr>
      </w:pPr>
      <w:bookmarkStart w:id="2" w:name="_GoBack"/>
      <w:bookmarkEnd w:id="2"/>
    </w:p>
    <w:sectPr w:rsidR="00292563" w:rsidRPr="00E3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1885"/>
    <w:multiLevelType w:val="multilevel"/>
    <w:tmpl w:val="63A2A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99"/>
    <w:rsid w:val="00292563"/>
    <w:rsid w:val="00293799"/>
    <w:rsid w:val="00E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C3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F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1FC3"/>
    <w:pPr>
      <w:ind w:left="720"/>
      <w:contextualSpacing/>
    </w:pPr>
  </w:style>
  <w:style w:type="character" w:customStyle="1" w:styleId="ipa">
    <w:name w:val="ipa"/>
    <w:basedOn w:val="a0"/>
    <w:rsid w:val="00E31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C3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F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1FC3"/>
    <w:pPr>
      <w:ind w:left="720"/>
      <w:contextualSpacing/>
    </w:pPr>
  </w:style>
  <w:style w:type="character" w:customStyle="1" w:styleId="ipa">
    <w:name w:val="ipa"/>
    <w:basedOn w:val="a0"/>
    <w:rsid w:val="00E3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.1sept.ru/article.php?ID=200404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2632</Words>
  <Characters>15009</Characters>
  <Application>Microsoft Office Word</Application>
  <DocSecurity>0</DocSecurity>
  <Lines>125</Lines>
  <Paragraphs>35</Paragraphs>
  <ScaleCrop>false</ScaleCrop>
  <Company>home</Company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2024-12-17T09:39:00Z</dcterms:created>
  <dcterms:modified xsi:type="dcterms:W3CDTF">2024-12-17T09:44:00Z</dcterms:modified>
</cp:coreProperties>
</file>