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9DE" w:rsidRPr="00B644BF" w:rsidRDefault="00B239DE" w:rsidP="00B239DE">
      <w:pPr>
        <w:spacing w:after="19" w:line="276" w:lineRule="auto"/>
        <w:ind w:left="10" w:right="255" w:hanging="10"/>
        <w:jc w:val="center"/>
        <w:rPr>
          <w:rFonts w:ascii="Times New Roman" w:hAnsi="Times New Roman" w:cs="Times New Roman"/>
          <w:b/>
          <w:sz w:val="32"/>
          <w:szCs w:val="32"/>
        </w:rPr>
      </w:pPr>
      <w:r w:rsidRPr="00B644BF">
        <w:rPr>
          <w:rFonts w:ascii="Times New Roman" w:hAnsi="Times New Roman" w:cs="Times New Roman"/>
          <w:b/>
          <w:sz w:val="32"/>
          <w:szCs w:val="32"/>
        </w:rPr>
        <w:t>Х</w:t>
      </w:r>
      <w:r w:rsidRPr="00B644BF">
        <w:rPr>
          <w:rFonts w:ascii="Times New Roman" w:hAnsi="Times New Roman" w:cs="Times New Roman"/>
          <w:b/>
          <w:noProof/>
          <w:sz w:val="32"/>
          <w:szCs w:val="32"/>
        </w:rPr>
        <w:t>V</w:t>
      </w:r>
      <w:r w:rsidRPr="00B644BF">
        <w:rPr>
          <w:rFonts w:ascii="Times New Roman" w:hAnsi="Times New Roman" w:cs="Times New Roman"/>
          <w:b/>
          <w:sz w:val="32"/>
          <w:szCs w:val="32"/>
        </w:rPr>
        <w:t xml:space="preserve"> МЕЖДУНАРОДНАЯ НАУЧНО-ПРАКТИЧЕСКАЯ </w:t>
      </w:r>
    </w:p>
    <w:p w:rsidR="00B239DE" w:rsidRPr="00B644BF" w:rsidRDefault="00B239DE" w:rsidP="00B239DE">
      <w:pPr>
        <w:spacing w:after="19" w:line="276" w:lineRule="auto"/>
        <w:ind w:left="10" w:right="255" w:hanging="10"/>
        <w:jc w:val="center"/>
        <w:rPr>
          <w:rFonts w:ascii="Times New Roman" w:hAnsi="Times New Roman" w:cs="Times New Roman"/>
          <w:b/>
          <w:sz w:val="32"/>
          <w:szCs w:val="32"/>
        </w:rPr>
      </w:pPr>
      <w:r w:rsidRPr="00B644BF">
        <w:rPr>
          <w:rFonts w:ascii="Times New Roman" w:hAnsi="Times New Roman" w:cs="Times New Roman"/>
          <w:b/>
          <w:sz w:val="32"/>
          <w:szCs w:val="32"/>
        </w:rPr>
        <w:t xml:space="preserve">ИНТЕРНЕТ-КОНФЕРЕНЦИЯ </w:t>
      </w:r>
    </w:p>
    <w:p w:rsidR="00B239DE" w:rsidRPr="00B644BF" w:rsidRDefault="00B239DE" w:rsidP="00B239DE">
      <w:pPr>
        <w:spacing w:after="19" w:line="276" w:lineRule="auto"/>
        <w:ind w:left="10" w:right="255" w:hanging="10"/>
        <w:jc w:val="center"/>
        <w:rPr>
          <w:rFonts w:ascii="Times New Roman" w:hAnsi="Times New Roman" w:cs="Times New Roman"/>
          <w:sz w:val="32"/>
          <w:szCs w:val="32"/>
        </w:rPr>
      </w:pPr>
      <w:r w:rsidRPr="00B644BF">
        <w:rPr>
          <w:rFonts w:ascii="Times New Roman" w:hAnsi="Times New Roman" w:cs="Times New Roman"/>
          <w:sz w:val="32"/>
          <w:szCs w:val="32"/>
        </w:rPr>
        <w:t xml:space="preserve"> </w:t>
      </w:r>
    </w:p>
    <w:p w:rsidR="00B239DE" w:rsidRPr="00B644BF" w:rsidRDefault="00B239DE" w:rsidP="00B239DE">
      <w:pPr>
        <w:spacing w:after="19" w:line="276" w:lineRule="auto"/>
        <w:ind w:left="10" w:right="125" w:hanging="10"/>
        <w:jc w:val="center"/>
        <w:rPr>
          <w:rFonts w:ascii="Times New Roman" w:hAnsi="Times New Roman" w:cs="Times New Roman"/>
          <w:b/>
          <w:sz w:val="32"/>
          <w:szCs w:val="32"/>
        </w:rPr>
      </w:pPr>
      <w:r w:rsidRPr="00B644BF">
        <w:rPr>
          <w:rFonts w:ascii="Times New Roman" w:hAnsi="Times New Roman" w:cs="Times New Roman"/>
          <w:b/>
          <w:sz w:val="32"/>
          <w:szCs w:val="32"/>
        </w:rPr>
        <w:t xml:space="preserve">ПРОБЛЕМЫ УСТОЙЧИВОГО РАЗВИТИЯ РЕГИОНОВ РЕСПУБЛИКИ БЕЛАРУСЬ </w:t>
      </w:r>
    </w:p>
    <w:p w:rsidR="001E7DEA" w:rsidRPr="00B644BF" w:rsidRDefault="00B239DE" w:rsidP="00B239DE">
      <w:pPr>
        <w:spacing w:after="19" w:line="276" w:lineRule="auto"/>
        <w:ind w:left="10" w:right="125" w:hanging="10"/>
        <w:jc w:val="center"/>
        <w:rPr>
          <w:rFonts w:ascii="Times New Roman" w:hAnsi="Times New Roman" w:cs="Times New Roman"/>
          <w:sz w:val="32"/>
          <w:szCs w:val="32"/>
        </w:rPr>
      </w:pPr>
      <w:r w:rsidRPr="00B644BF">
        <w:rPr>
          <w:rFonts w:ascii="Times New Roman" w:hAnsi="Times New Roman" w:cs="Times New Roman"/>
          <w:b/>
          <w:sz w:val="32"/>
          <w:szCs w:val="32"/>
        </w:rPr>
        <w:t>И СОПРЕДЕЛЬНЫХ СТРАН</w:t>
      </w:r>
      <w:r w:rsidR="001E7DEA" w:rsidRPr="00B644BF">
        <w:rPr>
          <w:rFonts w:ascii="Times New Roman" w:hAnsi="Times New Roman" w:cs="Times New Roman"/>
          <w:b/>
          <w:sz w:val="32"/>
          <w:szCs w:val="32"/>
        </w:rPr>
        <w:t xml:space="preserve"> </w:t>
      </w:r>
    </w:p>
    <w:p w:rsidR="001E7DEA" w:rsidRPr="00B644BF" w:rsidRDefault="001E7DEA" w:rsidP="001E7DEA">
      <w:pPr>
        <w:ind w:right="146"/>
        <w:jc w:val="center"/>
        <w:rPr>
          <w:rFonts w:ascii="Times New Roman" w:hAnsi="Times New Roman" w:cs="Times New Roman"/>
          <w:b/>
          <w:sz w:val="32"/>
          <w:szCs w:val="32"/>
        </w:rPr>
      </w:pPr>
      <w:r w:rsidRPr="00B644BF">
        <w:rPr>
          <w:rFonts w:ascii="Times New Roman" w:hAnsi="Times New Roman" w:cs="Times New Roman"/>
          <w:b/>
        </w:rPr>
        <w:t xml:space="preserve"> </w:t>
      </w:r>
    </w:p>
    <w:p w:rsidR="009703F2" w:rsidRPr="00B644BF" w:rsidRDefault="009703F2" w:rsidP="009703F2">
      <w:pPr>
        <w:spacing w:before="3000" w:after="0" w:line="240" w:lineRule="auto"/>
        <w:ind w:firstLine="709"/>
        <w:jc w:val="center"/>
        <w:rPr>
          <w:rFonts w:ascii="Times New Roman" w:hAnsi="Times New Roman" w:cs="Times New Roman"/>
          <w:b/>
          <w:i/>
          <w:sz w:val="36"/>
          <w:szCs w:val="36"/>
        </w:rPr>
      </w:pPr>
      <w:r w:rsidRPr="00B644BF">
        <w:rPr>
          <w:rFonts w:ascii="Times New Roman" w:hAnsi="Times New Roman" w:cs="Times New Roman"/>
          <w:b/>
          <w:i/>
          <w:sz w:val="36"/>
          <w:szCs w:val="36"/>
        </w:rPr>
        <w:t>Секция 1</w:t>
      </w:r>
    </w:p>
    <w:p w:rsidR="001E7DEA" w:rsidRPr="00B644BF" w:rsidRDefault="009703F2" w:rsidP="00B239DE">
      <w:pPr>
        <w:spacing w:after="4920"/>
        <w:ind w:firstLine="709"/>
        <w:jc w:val="center"/>
        <w:rPr>
          <w:rFonts w:ascii="Times New Roman" w:eastAsia="Arial" w:hAnsi="Times New Roman" w:cs="Times New Roman"/>
          <w:b/>
          <w:sz w:val="32"/>
          <w:szCs w:val="32"/>
        </w:rPr>
      </w:pPr>
      <w:r w:rsidRPr="00B644BF">
        <w:rPr>
          <w:rFonts w:ascii="Times New Roman" w:eastAsia="Arial" w:hAnsi="Times New Roman" w:cs="Times New Roman"/>
          <w:b/>
          <w:sz w:val="32"/>
          <w:szCs w:val="32"/>
        </w:rPr>
        <w:t>РЕГИОНАЛЬНОЕ УСТОЙЧИВОЕ РАЗВИТИЕ В УСЛОВИЯХ ИННОВАЦИОННОЙ ТРАНСФОРМАЦИИ: СОЦИАЛЬНЫЕ, ЭКОНОМИЧЕСКИЕ И ПРАВОВЫЕ АСПЕКТЫ</w:t>
      </w:r>
    </w:p>
    <w:p w:rsidR="00B239DE" w:rsidRPr="00B644BF" w:rsidRDefault="00B239DE" w:rsidP="00B239DE">
      <w:pPr>
        <w:jc w:val="center"/>
        <w:rPr>
          <w:rFonts w:ascii="Times New Roman" w:hAnsi="Times New Roman" w:cs="Times New Roman"/>
          <w:b/>
          <w:sz w:val="32"/>
          <w:szCs w:val="32"/>
        </w:rPr>
      </w:pPr>
      <w:r w:rsidRPr="00B644BF">
        <w:rPr>
          <w:rFonts w:ascii="Times New Roman" w:hAnsi="Times New Roman" w:cs="Times New Roman"/>
          <w:b/>
          <w:sz w:val="32"/>
          <w:szCs w:val="32"/>
        </w:rPr>
        <w:t>1 июня - 30 июня 202</w:t>
      </w:r>
      <w:r w:rsidRPr="00B644BF">
        <w:rPr>
          <w:rFonts w:ascii="Times New Roman" w:hAnsi="Times New Roman" w:cs="Times New Roman"/>
          <w:b/>
          <w:noProof/>
          <w:sz w:val="32"/>
          <w:szCs w:val="32"/>
        </w:rPr>
        <w:t>6</w:t>
      </w:r>
      <w:r w:rsidRPr="00B644BF">
        <w:rPr>
          <w:rFonts w:ascii="Times New Roman" w:hAnsi="Times New Roman" w:cs="Times New Roman"/>
          <w:b/>
          <w:sz w:val="32"/>
          <w:szCs w:val="32"/>
        </w:rPr>
        <w:t xml:space="preserve"> года</w:t>
      </w:r>
    </w:p>
    <w:p w:rsidR="003E77D8" w:rsidRPr="00B644BF" w:rsidRDefault="001E7DEA" w:rsidP="00D60961">
      <w:pPr>
        <w:spacing w:after="0" w:line="240" w:lineRule="auto"/>
        <w:ind w:firstLine="709"/>
        <w:jc w:val="center"/>
        <w:rPr>
          <w:rFonts w:ascii="Times New Roman" w:hAnsi="Times New Roman" w:cs="Times New Roman"/>
          <w:b/>
          <w:bCs/>
          <w:sz w:val="28"/>
          <w:szCs w:val="28"/>
        </w:rPr>
      </w:pPr>
      <w:r w:rsidRPr="00B644BF">
        <w:rPr>
          <w:rFonts w:ascii="Times New Roman" w:hAnsi="Times New Roman" w:cs="Times New Roman"/>
          <w:b/>
          <w:sz w:val="32"/>
          <w:szCs w:val="32"/>
        </w:rPr>
        <w:br w:type="page"/>
      </w:r>
      <w:r w:rsidR="003E77D8" w:rsidRPr="00B644BF">
        <w:rPr>
          <w:rFonts w:ascii="Times New Roman" w:hAnsi="Times New Roman" w:cs="Times New Roman"/>
          <w:b/>
          <w:bCs/>
          <w:sz w:val="28"/>
          <w:szCs w:val="28"/>
        </w:rPr>
        <w:lastRenderedPageBreak/>
        <w:t>РОЛЬ ESG-ПРИНЦИПОВ В РАЗВИТИИ СИСТЕМЫ МАРКЕТИНГОВЫХ КОММУНИКАЦИЙ СОВРЕМЕННЫХ ПРЕДПРИЯТИЙ</w:t>
      </w:r>
    </w:p>
    <w:p w:rsidR="003E77D8" w:rsidRPr="00B644BF" w:rsidRDefault="003E77D8" w:rsidP="00D60961">
      <w:pPr>
        <w:spacing w:after="0" w:line="240" w:lineRule="auto"/>
        <w:ind w:firstLine="709"/>
        <w:jc w:val="center"/>
        <w:rPr>
          <w:rFonts w:ascii="Times New Roman" w:hAnsi="Times New Roman" w:cs="Times New Roman"/>
          <w:sz w:val="28"/>
          <w:szCs w:val="28"/>
        </w:rPr>
      </w:pPr>
    </w:p>
    <w:p w:rsidR="003E77D8" w:rsidRPr="00B644BF" w:rsidRDefault="003E77D8" w:rsidP="00D60961">
      <w:pPr>
        <w:spacing w:after="0" w:line="240" w:lineRule="auto"/>
        <w:ind w:firstLine="709"/>
        <w:jc w:val="center"/>
        <w:rPr>
          <w:rFonts w:ascii="Times New Roman" w:hAnsi="Times New Roman" w:cs="Times New Roman"/>
          <w:b/>
          <w:bCs/>
          <w:sz w:val="28"/>
          <w:szCs w:val="28"/>
        </w:rPr>
      </w:pPr>
      <w:r w:rsidRPr="00B644BF">
        <w:rPr>
          <w:rFonts w:ascii="Times New Roman" w:hAnsi="Times New Roman" w:cs="Times New Roman"/>
          <w:b/>
          <w:bCs/>
          <w:sz w:val="28"/>
          <w:szCs w:val="28"/>
        </w:rPr>
        <w:t>Бутор Любовь Васильевна</w:t>
      </w:r>
    </w:p>
    <w:p w:rsidR="003E77D8" w:rsidRPr="00B644BF" w:rsidRDefault="003E77D8" w:rsidP="00D60961">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старший преподаватель кафедры «Инженерная экономика»</w:t>
      </w:r>
    </w:p>
    <w:p w:rsidR="003E77D8" w:rsidRPr="00B644BF" w:rsidRDefault="003E77D8" w:rsidP="00D60961">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учреждения образования «Белорусский Национальный Технический Университет»</w:t>
      </w:r>
    </w:p>
    <w:p w:rsidR="003E77D8" w:rsidRPr="00B644BF" w:rsidRDefault="003E77D8" w:rsidP="00D60961">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(г. Минск, Беларусь)</w:t>
      </w:r>
    </w:p>
    <w:p w:rsidR="003E77D8" w:rsidRPr="00B644BF" w:rsidRDefault="003E77D8" w:rsidP="00D60961">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lang w:val="en-US"/>
        </w:rPr>
        <w:t>msf</w:t>
      </w:r>
      <w:r w:rsidRPr="00B644BF">
        <w:rPr>
          <w:rFonts w:ascii="Times New Roman" w:hAnsi="Times New Roman" w:cs="Times New Roman"/>
          <w:sz w:val="28"/>
          <w:szCs w:val="28"/>
        </w:rPr>
        <w:t>.</w:t>
      </w:r>
      <w:r w:rsidRPr="00B644BF">
        <w:rPr>
          <w:rFonts w:ascii="Times New Roman" w:hAnsi="Times New Roman" w:cs="Times New Roman"/>
          <w:sz w:val="28"/>
          <w:szCs w:val="28"/>
          <w:lang w:val="en-US"/>
        </w:rPr>
        <w:t>info</w:t>
      </w:r>
      <w:r w:rsidRPr="00B644BF">
        <w:rPr>
          <w:rFonts w:ascii="Times New Roman" w:hAnsi="Times New Roman" w:cs="Times New Roman"/>
          <w:sz w:val="28"/>
          <w:szCs w:val="28"/>
        </w:rPr>
        <w:t>@</w:t>
      </w:r>
      <w:r w:rsidRPr="00B644BF">
        <w:rPr>
          <w:rFonts w:ascii="Times New Roman" w:hAnsi="Times New Roman" w:cs="Times New Roman"/>
          <w:sz w:val="28"/>
          <w:szCs w:val="28"/>
          <w:lang w:val="en-US"/>
        </w:rPr>
        <w:t>bntu</w:t>
      </w:r>
      <w:r w:rsidRPr="00B644BF">
        <w:rPr>
          <w:rFonts w:ascii="Times New Roman" w:hAnsi="Times New Roman" w:cs="Times New Roman"/>
          <w:sz w:val="28"/>
          <w:szCs w:val="28"/>
        </w:rPr>
        <w:t>.</w:t>
      </w:r>
      <w:r w:rsidRPr="00B644BF">
        <w:rPr>
          <w:rFonts w:ascii="Times New Roman" w:hAnsi="Times New Roman" w:cs="Times New Roman"/>
          <w:sz w:val="28"/>
          <w:szCs w:val="28"/>
          <w:lang w:val="en-US"/>
        </w:rPr>
        <w:t>by</w:t>
      </w:r>
    </w:p>
    <w:p w:rsidR="003E77D8" w:rsidRPr="00B644BF" w:rsidRDefault="003E77D8" w:rsidP="00D60961">
      <w:pPr>
        <w:spacing w:after="0" w:line="240" w:lineRule="auto"/>
        <w:ind w:firstLine="709"/>
        <w:jc w:val="center"/>
        <w:rPr>
          <w:rFonts w:ascii="Times New Roman" w:hAnsi="Times New Roman" w:cs="Times New Roman"/>
          <w:b/>
          <w:bCs/>
          <w:sz w:val="28"/>
          <w:szCs w:val="28"/>
        </w:rPr>
      </w:pPr>
      <w:r w:rsidRPr="00B644BF">
        <w:rPr>
          <w:rFonts w:ascii="Times New Roman" w:hAnsi="Times New Roman" w:cs="Times New Roman"/>
          <w:b/>
          <w:bCs/>
          <w:sz w:val="28"/>
          <w:szCs w:val="28"/>
        </w:rPr>
        <w:t>Лавренова Анастасия Павловна</w:t>
      </w:r>
    </w:p>
    <w:p w:rsidR="003E77D8" w:rsidRPr="00B644BF" w:rsidRDefault="003E77D8" w:rsidP="00D60961">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студент кафедры «Инженерная экономика»</w:t>
      </w:r>
    </w:p>
    <w:p w:rsidR="003E77D8" w:rsidRPr="00B644BF" w:rsidRDefault="003E77D8" w:rsidP="00D60961">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учреждения образования «Белорусский Национальный Технический Университет»</w:t>
      </w:r>
    </w:p>
    <w:p w:rsidR="003E77D8" w:rsidRPr="00B644BF" w:rsidRDefault="003E77D8" w:rsidP="00D60961">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(г. Минск, Беларусь)</w:t>
      </w:r>
    </w:p>
    <w:p w:rsidR="003E77D8" w:rsidRPr="00B644BF" w:rsidRDefault="003E77D8" w:rsidP="00D60961">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lang w:val="en-US"/>
        </w:rPr>
        <w:t>nastyalavrenova</w:t>
      </w:r>
      <w:r w:rsidRPr="00B644BF">
        <w:rPr>
          <w:rFonts w:ascii="Times New Roman" w:hAnsi="Times New Roman" w:cs="Times New Roman"/>
          <w:sz w:val="28"/>
          <w:szCs w:val="28"/>
        </w:rPr>
        <w:t>2816@</w:t>
      </w:r>
      <w:r w:rsidRPr="00B644BF">
        <w:rPr>
          <w:rFonts w:ascii="Times New Roman" w:hAnsi="Times New Roman" w:cs="Times New Roman"/>
          <w:sz w:val="28"/>
          <w:szCs w:val="28"/>
          <w:lang w:val="en-US"/>
        </w:rPr>
        <w:t>gmail</w:t>
      </w:r>
      <w:r w:rsidRPr="00B644BF">
        <w:rPr>
          <w:rFonts w:ascii="Times New Roman" w:hAnsi="Times New Roman" w:cs="Times New Roman"/>
          <w:sz w:val="28"/>
          <w:szCs w:val="28"/>
        </w:rPr>
        <w:t>.</w:t>
      </w:r>
      <w:r w:rsidRPr="00B644BF">
        <w:rPr>
          <w:rFonts w:ascii="Times New Roman" w:hAnsi="Times New Roman" w:cs="Times New Roman"/>
          <w:sz w:val="28"/>
          <w:szCs w:val="28"/>
          <w:lang w:val="en-US"/>
        </w:rPr>
        <w:t>com</w:t>
      </w:r>
    </w:p>
    <w:p w:rsidR="003E77D8" w:rsidRPr="00B644BF" w:rsidRDefault="003E77D8" w:rsidP="00D60961">
      <w:pPr>
        <w:spacing w:after="0" w:line="240" w:lineRule="auto"/>
        <w:ind w:firstLine="709"/>
        <w:jc w:val="center"/>
        <w:rPr>
          <w:rFonts w:ascii="Times New Roman" w:hAnsi="Times New Roman" w:cs="Times New Roman"/>
          <w:b/>
          <w:bCs/>
          <w:sz w:val="28"/>
          <w:szCs w:val="28"/>
        </w:rPr>
      </w:pPr>
      <w:r w:rsidRPr="00B644BF">
        <w:rPr>
          <w:rFonts w:ascii="Times New Roman" w:hAnsi="Times New Roman" w:cs="Times New Roman"/>
          <w:b/>
          <w:bCs/>
          <w:sz w:val="28"/>
          <w:szCs w:val="28"/>
        </w:rPr>
        <w:t>Чижик Антон Сергеевич</w:t>
      </w:r>
    </w:p>
    <w:p w:rsidR="003E77D8" w:rsidRPr="00B644BF" w:rsidRDefault="003E77D8" w:rsidP="00D60961">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студент кафедры «Инженерная экономика»</w:t>
      </w:r>
    </w:p>
    <w:p w:rsidR="003E77D8" w:rsidRPr="00B644BF" w:rsidRDefault="003E77D8" w:rsidP="00D60961">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учреждения образования «Белорусский Национальный Технический Университет»</w:t>
      </w:r>
    </w:p>
    <w:p w:rsidR="003E77D8" w:rsidRPr="00B644BF" w:rsidRDefault="003E77D8" w:rsidP="00D60961">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(г. Минск, Беларусь)</w:t>
      </w:r>
    </w:p>
    <w:p w:rsidR="003E77D8" w:rsidRPr="00B644BF" w:rsidRDefault="003E77D8" w:rsidP="00D60961">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antand.chizhik@</w:t>
      </w:r>
      <w:r w:rsidRPr="00B644BF">
        <w:rPr>
          <w:rFonts w:ascii="Times New Roman" w:hAnsi="Times New Roman" w:cs="Times New Roman"/>
          <w:sz w:val="28"/>
          <w:szCs w:val="28"/>
          <w:lang w:val="en-US"/>
        </w:rPr>
        <w:t>gmail</w:t>
      </w:r>
      <w:r w:rsidRPr="00B644BF">
        <w:rPr>
          <w:rFonts w:ascii="Times New Roman" w:hAnsi="Times New Roman" w:cs="Times New Roman"/>
          <w:sz w:val="28"/>
          <w:szCs w:val="28"/>
        </w:rPr>
        <w:t>.</w:t>
      </w:r>
      <w:r w:rsidRPr="00B644BF">
        <w:rPr>
          <w:rFonts w:ascii="Times New Roman" w:hAnsi="Times New Roman" w:cs="Times New Roman"/>
          <w:sz w:val="28"/>
          <w:szCs w:val="28"/>
          <w:lang w:val="en-US"/>
        </w:rPr>
        <w:t>com</w:t>
      </w:r>
    </w:p>
    <w:p w:rsidR="003E77D8" w:rsidRPr="00D60961" w:rsidRDefault="003E77D8" w:rsidP="00D60961">
      <w:pPr>
        <w:spacing w:after="0" w:line="240" w:lineRule="auto"/>
        <w:ind w:firstLine="709"/>
        <w:jc w:val="center"/>
        <w:rPr>
          <w:rFonts w:ascii="Times New Roman" w:hAnsi="Times New Roman" w:cs="Times New Roman"/>
          <w:sz w:val="24"/>
          <w:szCs w:val="24"/>
        </w:rPr>
      </w:pPr>
    </w:p>
    <w:p w:rsidR="003E77D8" w:rsidRPr="00D60961" w:rsidRDefault="003E77D8" w:rsidP="00D60961">
      <w:pPr>
        <w:spacing w:after="0" w:line="240" w:lineRule="auto"/>
        <w:ind w:firstLine="709"/>
        <w:jc w:val="both"/>
        <w:rPr>
          <w:rFonts w:ascii="Times New Roman" w:hAnsi="Times New Roman" w:cs="Times New Roman"/>
          <w:sz w:val="24"/>
          <w:szCs w:val="24"/>
        </w:rPr>
      </w:pPr>
      <w:r w:rsidRPr="00D60961">
        <w:rPr>
          <w:rFonts w:ascii="Times New Roman" w:hAnsi="Times New Roman" w:cs="Times New Roman"/>
          <w:b/>
          <w:bCs/>
          <w:sz w:val="24"/>
          <w:szCs w:val="24"/>
        </w:rPr>
        <w:t>Аннотация.</w:t>
      </w:r>
      <w:r w:rsidRPr="00D60961">
        <w:rPr>
          <w:rFonts w:ascii="Times New Roman" w:hAnsi="Times New Roman" w:cs="Times New Roman"/>
          <w:sz w:val="24"/>
          <w:szCs w:val="24"/>
        </w:rPr>
        <w:t xml:space="preserve"> В статье рассматривается роль ESG-принципов (Environmental, Social, Governance) в развитии системы маркетинговых коммуникаций современных предприятий. Раскрывается сущность ESG-маркетинга как стратегии, основанной на устойчивом развитии и формировании доверительных отношений с потребителями результатов деятельности организации. Особое внимание уделяется влиянию экологических, социальных и управленческих факторов на формирование бренда и потребительского поведения. Обосновывается значимость внедрения ESG-подхода для повышения прозрачности, конкурентоспособности и инвестиционной привлекательности компании.</w:t>
      </w:r>
    </w:p>
    <w:p w:rsidR="003E77D8" w:rsidRPr="00D60961" w:rsidRDefault="003E77D8" w:rsidP="00D60961">
      <w:pPr>
        <w:spacing w:after="0" w:line="240" w:lineRule="auto"/>
        <w:ind w:firstLine="709"/>
        <w:jc w:val="both"/>
        <w:rPr>
          <w:rFonts w:ascii="Times New Roman" w:hAnsi="Times New Roman" w:cs="Times New Roman"/>
          <w:sz w:val="24"/>
          <w:szCs w:val="24"/>
        </w:rPr>
      </w:pPr>
      <w:r w:rsidRPr="00D60961">
        <w:rPr>
          <w:rFonts w:ascii="Times New Roman" w:hAnsi="Times New Roman" w:cs="Times New Roman"/>
          <w:b/>
          <w:bCs/>
          <w:sz w:val="24"/>
          <w:szCs w:val="24"/>
        </w:rPr>
        <w:t>Ключевые слова.</w:t>
      </w:r>
      <w:r w:rsidRPr="00D60961">
        <w:rPr>
          <w:rFonts w:ascii="Times New Roman" w:hAnsi="Times New Roman" w:cs="Times New Roman"/>
          <w:sz w:val="24"/>
          <w:szCs w:val="24"/>
        </w:rPr>
        <w:t xml:space="preserve"> ESG, устойчивое развитие, ESG-маркетинг, маркетинговые коммуникации, корпоративное управление, окружающая среда, экологическая ответственность, социальная ответственность, бренд, доверие потребителей.</w:t>
      </w:r>
    </w:p>
    <w:p w:rsidR="003E77D8" w:rsidRPr="00B644BF" w:rsidRDefault="003E77D8" w:rsidP="00D60961">
      <w:pPr>
        <w:spacing w:after="0" w:line="240" w:lineRule="auto"/>
        <w:ind w:firstLine="709"/>
        <w:jc w:val="both"/>
        <w:rPr>
          <w:rFonts w:ascii="Times New Roman" w:hAnsi="Times New Roman" w:cs="Times New Roman"/>
          <w:sz w:val="28"/>
          <w:szCs w:val="28"/>
        </w:rPr>
      </w:pPr>
    </w:p>
    <w:p w:rsidR="003E77D8" w:rsidRPr="00B644BF" w:rsidRDefault="003E77D8" w:rsidP="00D60961">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«В современных условиях развития мировой экономики вопросы устойчивого развития приобретают особую значимость. Одним из ключевых подходов, обеспечивающих баланс между экономическим ростом, социальными интересами и охраной окружающей среды, является концепция ESG (Environmental, Social, Governance). Данный подход ориентирован на внедрение экологически чистых технологий, развитие социальной ответственности бизнеса и совершенствование корпоративного управления» [1].</w:t>
      </w:r>
    </w:p>
    <w:p w:rsidR="003E77D8" w:rsidRPr="00B644BF" w:rsidRDefault="003E77D8" w:rsidP="00D60961">
      <w:pPr>
        <w:spacing w:after="0" w:line="240" w:lineRule="auto"/>
        <w:ind w:firstLine="709"/>
        <w:jc w:val="both"/>
        <w:rPr>
          <w:rFonts w:ascii="Times New Roman" w:hAnsi="Times New Roman" w:cs="Times New Roman"/>
          <w:sz w:val="28"/>
          <w:szCs w:val="28"/>
          <w:lang w:val="en-US"/>
        </w:rPr>
      </w:pPr>
      <w:r w:rsidRPr="00B644BF">
        <w:rPr>
          <w:rFonts w:ascii="Times New Roman" w:hAnsi="Times New Roman" w:cs="Times New Roman"/>
          <w:sz w:val="28"/>
          <w:szCs w:val="28"/>
        </w:rPr>
        <w:lastRenderedPageBreak/>
        <w:t xml:space="preserve">«ESG – принципы деятельности компании, основанные на защите окружающей среды, создание благоприятных социальных условий, добросовестном отношении с сотрудниками и клиентами и надлежащем корпоративном управлении. Аббревиатура ESG расшифровывается как E (Environmental) – окружающая среда, S (Social) – социальные факторы и G (Governance) – корпоративное управление. На рисунке 1 представлены основные направления принципов </w:t>
      </w:r>
      <w:r w:rsidRPr="00B644BF">
        <w:rPr>
          <w:rFonts w:ascii="Times New Roman" w:hAnsi="Times New Roman" w:cs="Times New Roman"/>
          <w:sz w:val="28"/>
          <w:szCs w:val="28"/>
          <w:lang w:val="en-US"/>
        </w:rPr>
        <w:t>ESG</w:t>
      </w:r>
      <w:r w:rsidRPr="00B644BF">
        <w:rPr>
          <w:rFonts w:ascii="Times New Roman" w:hAnsi="Times New Roman" w:cs="Times New Roman"/>
          <w:sz w:val="28"/>
          <w:szCs w:val="28"/>
        </w:rPr>
        <w:t xml:space="preserve">» </w:t>
      </w:r>
      <w:r w:rsidRPr="00B644BF">
        <w:rPr>
          <w:rFonts w:ascii="Times New Roman" w:hAnsi="Times New Roman" w:cs="Times New Roman"/>
          <w:sz w:val="28"/>
          <w:szCs w:val="28"/>
          <w:lang w:val="en-US"/>
        </w:rPr>
        <w:t>[1].</w:t>
      </w:r>
    </w:p>
    <w:p w:rsidR="003E77D8" w:rsidRPr="00B644BF" w:rsidRDefault="003E77D8" w:rsidP="00D60961">
      <w:pPr>
        <w:spacing w:after="0" w:line="240" w:lineRule="auto"/>
        <w:ind w:firstLine="709"/>
        <w:jc w:val="both"/>
        <w:rPr>
          <w:rFonts w:ascii="Times New Roman" w:hAnsi="Times New Roman" w:cs="Times New Roman"/>
          <w:noProof/>
          <w:sz w:val="28"/>
          <w:szCs w:val="28"/>
        </w:rPr>
      </w:pPr>
    </w:p>
    <w:p w:rsidR="003E77D8" w:rsidRPr="00B644BF" w:rsidRDefault="003E77D8" w:rsidP="00D60961">
      <w:pPr>
        <w:keepNext/>
        <w:spacing w:after="0" w:line="240" w:lineRule="auto"/>
        <w:ind w:firstLine="709"/>
        <w:jc w:val="center"/>
        <w:rPr>
          <w:rFonts w:ascii="Times New Roman" w:hAnsi="Times New Roman" w:cs="Times New Roman"/>
        </w:rPr>
      </w:pPr>
      <w:r w:rsidRPr="00B644BF">
        <w:rPr>
          <w:rFonts w:ascii="Times New Roman" w:hAnsi="Times New Roman" w:cs="Times New Roman"/>
          <w:noProof/>
          <w:sz w:val="28"/>
          <w:szCs w:val="28"/>
        </w:rPr>
        <w:drawing>
          <wp:inline distT="0" distB="0" distL="0" distR="0">
            <wp:extent cx="2882900" cy="286228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G-принципы схема 1.png"/>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3041" t="8254" r="29033" b="7146"/>
                    <a:stretch/>
                  </pic:blipFill>
                  <pic:spPr bwMode="auto">
                    <a:xfrm>
                      <a:off x="0" y="0"/>
                      <a:ext cx="2951928" cy="293081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3E77D8" w:rsidRPr="00B644BF" w:rsidRDefault="003E77D8" w:rsidP="00D60961">
      <w:pPr>
        <w:pStyle w:val="aa"/>
        <w:spacing w:after="0"/>
        <w:jc w:val="center"/>
        <w:rPr>
          <w:rFonts w:ascii="Times New Roman" w:hAnsi="Times New Roman" w:cs="Times New Roman"/>
          <w:i w:val="0"/>
          <w:color w:val="auto"/>
          <w:kern w:val="0"/>
          <w:sz w:val="44"/>
          <w:szCs w:val="28"/>
        </w:rPr>
      </w:pPr>
      <w:r w:rsidRPr="00B644BF">
        <w:rPr>
          <w:rFonts w:ascii="Times New Roman" w:hAnsi="Times New Roman" w:cs="Times New Roman"/>
          <w:i w:val="0"/>
          <w:color w:val="auto"/>
          <w:sz w:val="28"/>
        </w:rPr>
        <w:t xml:space="preserve">Рисунок </w:t>
      </w:r>
      <w:r w:rsidR="00F975FD" w:rsidRPr="00B644BF">
        <w:rPr>
          <w:rFonts w:ascii="Times New Roman" w:hAnsi="Times New Roman" w:cs="Times New Roman"/>
          <w:i w:val="0"/>
          <w:color w:val="auto"/>
          <w:sz w:val="28"/>
        </w:rPr>
        <w:fldChar w:fldCharType="begin"/>
      </w:r>
      <w:r w:rsidRPr="00B644BF">
        <w:rPr>
          <w:rFonts w:ascii="Times New Roman" w:hAnsi="Times New Roman" w:cs="Times New Roman"/>
          <w:i w:val="0"/>
          <w:color w:val="auto"/>
          <w:sz w:val="28"/>
        </w:rPr>
        <w:instrText xml:space="preserve"> SEQ Рисунок \* ARABIC </w:instrText>
      </w:r>
      <w:r w:rsidR="00F975FD" w:rsidRPr="00B644BF">
        <w:rPr>
          <w:rFonts w:ascii="Times New Roman" w:hAnsi="Times New Roman" w:cs="Times New Roman"/>
          <w:i w:val="0"/>
          <w:color w:val="auto"/>
          <w:sz w:val="28"/>
        </w:rPr>
        <w:fldChar w:fldCharType="separate"/>
      </w:r>
      <w:r w:rsidRPr="00B644BF">
        <w:rPr>
          <w:rFonts w:ascii="Times New Roman" w:hAnsi="Times New Roman" w:cs="Times New Roman"/>
          <w:i w:val="0"/>
          <w:noProof/>
          <w:color w:val="auto"/>
          <w:sz w:val="28"/>
        </w:rPr>
        <w:t>1</w:t>
      </w:r>
      <w:r w:rsidR="00F975FD" w:rsidRPr="00B644BF">
        <w:rPr>
          <w:rFonts w:ascii="Times New Roman" w:hAnsi="Times New Roman" w:cs="Times New Roman"/>
          <w:i w:val="0"/>
          <w:color w:val="auto"/>
          <w:sz w:val="28"/>
        </w:rPr>
        <w:fldChar w:fldCharType="end"/>
      </w:r>
      <w:r w:rsidRPr="00B644BF">
        <w:rPr>
          <w:rFonts w:ascii="Times New Roman" w:hAnsi="Times New Roman" w:cs="Times New Roman"/>
          <w:i w:val="0"/>
          <w:color w:val="auto"/>
          <w:sz w:val="28"/>
        </w:rPr>
        <w:t xml:space="preserve"> – </w:t>
      </w:r>
      <w:r w:rsidRPr="00B644BF">
        <w:rPr>
          <w:rFonts w:ascii="Times New Roman" w:hAnsi="Times New Roman" w:cs="Times New Roman"/>
          <w:i w:val="0"/>
          <w:color w:val="auto"/>
          <w:sz w:val="28"/>
          <w:lang w:val="en-US"/>
        </w:rPr>
        <w:t>ESG</w:t>
      </w:r>
      <w:r w:rsidRPr="00B644BF">
        <w:rPr>
          <w:rFonts w:ascii="Times New Roman" w:hAnsi="Times New Roman" w:cs="Times New Roman"/>
          <w:i w:val="0"/>
          <w:color w:val="auto"/>
          <w:sz w:val="28"/>
        </w:rPr>
        <w:t xml:space="preserve"> принципы (составлено авторами на основе [2])</w:t>
      </w:r>
    </w:p>
    <w:p w:rsidR="003E77D8" w:rsidRPr="00B644BF" w:rsidRDefault="003E77D8" w:rsidP="00D60961">
      <w:pPr>
        <w:spacing w:after="0" w:line="240" w:lineRule="auto"/>
        <w:ind w:firstLine="709"/>
        <w:jc w:val="both"/>
        <w:rPr>
          <w:rFonts w:ascii="Times New Roman" w:hAnsi="Times New Roman" w:cs="Times New Roman"/>
          <w:sz w:val="28"/>
          <w:szCs w:val="28"/>
        </w:rPr>
      </w:pPr>
    </w:p>
    <w:p w:rsidR="003E77D8" w:rsidRPr="00B644BF" w:rsidRDefault="003E77D8" w:rsidP="00D60961">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«Применение ESG-принципов становится важным фактором роста для компаний, поскольку позволяет не только минимизировать экологические и социальные риски, но и повысить инвестиционную привлекательность» [1]. </w:t>
      </w:r>
    </w:p>
    <w:p w:rsidR="003E77D8" w:rsidRPr="00B644BF" w:rsidRDefault="003E77D8" w:rsidP="00D60961">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В современных условиях концепция ESG становится важным фактором устойчивого развития предприятия, оказывая влияние не только на его стратегию, но и на коммуникационную деятельность. Через маркетинговые коммуникации компания транслирует свои ценности и формирует восприятие бренда у целевых аудиторий.</w:t>
      </w:r>
    </w:p>
    <w:p w:rsidR="003E77D8" w:rsidRPr="00B644BF" w:rsidRDefault="003E77D8" w:rsidP="00D60961">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«Система маркетинговых коммуникаций представляет собой совокупность инструментов и каналов взаимодействия с целевой аудиторией, направленных на формирование спроса, повышение узнаваемости бренда и стимулирование продаж».</w:t>
      </w:r>
    </w:p>
    <w:p w:rsidR="003E77D8" w:rsidRPr="00B644BF" w:rsidRDefault="003E77D8" w:rsidP="00D60961">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В развитии данного направления внедрения </w:t>
      </w:r>
      <w:r w:rsidRPr="00B644BF">
        <w:rPr>
          <w:rFonts w:ascii="Times New Roman" w:hAnsi="Times New Roman" w:cs="Times New Roman"/>
          <w:sz w:val="28"/>
          <w:szCs w:val="28"/>
          <w:lang w:val="en-US"/>
        </w:rPr>
        <w:t>ESG</w:t>
      </w:r>
      <w:r w:rsidRPr="00B644BF">
        <w:rPr>
          <w:rFonts w:ascii="Times New Roman" w:hAnsi="Times New Roman" w:cs="Times New Roman"/>
          <w:sz w:val="28"/>
          <w:szCs w:val="28"/>
        </w:rPr>
        <w:t xml:space="preserve">-принципов важную роль играет концепция </w:t>
      </w:r>
      <w:r w:rsidRPr="00B644BF">
        <w:rPr>
          <w:rFonts w:ascii="Times New Roman" w:hAnsi="Times New Roman" w:cs="Times New Roman"/>
          <w:sz w:val="28"/>
          <w:szCs w:val="28"/>
          <w:lang w:val="en-US"/>
        </w:rPr>
        <w:t>ESG</w:t>
      </w:r>
      <w:r w:rsidRPr="00B644BF">
        <w:rPr>
          <w:rFonts w:ascii="Times New Roman" w:hAnsi="Times New Roman" w:cs="Times New Roman"/>
          <w:sz w:val="28"/>
          <w:szCs w:val="28"/>
        </w:rPr>
        <w:t xml:space="preserve">-маркетинга. </w:t>
      </w:r>
      <w:r w:rsidRPr="00B644BF">
        <w:rPr>
          <w:rFonts w:ascii="Times New Roman" w:hAnsi="Times New Roman" w:cs="Times New Roman"/>
          <w:sz w:val="28"/>
          <w:szCs w:val="28"/>
          <w:lang w:val="en-US"/>
        </w:rPr>
        <w:t>ESG</w:t>
      </w:r>
      <w:r w:rsidRPr="00B644BF">
        <w:rPr>
          <w:rFonts w:ascii="Times New Roman" w:hAnsi="Times New Roman" w:cs="Times New Roman"/>
          <w:sz w:val="28"/>
          <w:szCs w:val="28"/>
        </w:rPr>
        <w:t xml:space="preserve">-маркетинг (англ. </w:t>
      </w:r>
      <w:r w:rsidRPr="00B644BF">
        <w:rPr>
          <w:rFonts w:ascii="Times New Roman" w:hAnsi="Times New Roman" w:cs="Times New Roman"/>
          <w:sz w:val="28"/>
          <w:szCs w:val="28"/>
          <w:lang w:val="en-US"/>
        </w:rPr>
        <w:t>Environmental</w:t>
      </w:r>
      <w:r w:rsidRPr="00B644BF">
        <w:rPr>
          <w:rFonts w:ascii="Times New Roman" w:hAnsi="Times New Roman" w:cs="Times New Roman"/>
          <w:sz w:val="28"/>
          <w:szCs w:val="28"/>
        </w:rPr>
        <w:t xml:space="preserve">, </w:t>
      </w:r>
      <w:r w:rsidRPr="00B644BF">
        <w:rPr>
          <w:rFonts w:ascii="Times New Roman" w:hAnsi="Times New Roman" w:cs="Times New Roman"/>
          <w:sz w:val="28"/>
          <w:szCs w:val="28"/>
          <w:lang w:val="en-US"/>
        </w:rPr>
        <w:t>Social</w:t>
      </w:r>
      <w:r w:rsidRPr="00B644BF">
        <w:rPr>
          <w:rFonts w:ascii="Times New Roman" w:hAnsi="Times New Roman" w:cs="Times New Roman"/>
          <w:sz w:val="28"/>
          <w:szCs w:val="28"/>
        </w:rPr>
        <w:t xml:space="preserve">, </w:t>
      </w:r>
      <w:r w:rsidRPr="00B644BF">
        <w:rPr>
          <w:rFonts w:ascii="Times New Roman" w:hAnsi="Times New Roman" w:cs="Times New Roman"/>
          <w:sz w:val="28"/>
          <w:szCs w:val="28"/>
          <w:lang w:val="en-US"/>
        </w:rPr>
        <w:t>Governance</w:t>
      </w:r>
      <w:r w:rsidRPr="00B644BF">
        <w:rPr>
          <w:rFonts w:ascii="Times New Roman" w:hAnsi="Times New Roman" w:cs="Times New Roman"/>
          <w:sz w:val="28"/>
          <w:szCs w:val="28"/>
        </w:rPr>
        <w:t xml:space="preserve"> </w:t>
      </w:r>
      <w:r w:rsidRPr="00B644BF">
        <w:rPr>
          <w:rFonts w:ascii="Times New Roman" w:hAnsi="Times New Roman" w:cs="Times New Roman"/>
          <w:sz w:val="28"/>
          <w:szCs w:val="28"/>
          <w:lang w:val="en-US"/>
        </w:rPr>
        <w:t>marketing</w:t>
      </w:r>
      <w:r w:rsidRPr="00B644BF">
        <w:rPr>
          <w:rFonts w:ascii="Times New Roman" w:hAnsi="Times New Roman" w:cs="Times New Roman"/>
          <w:sz w:val="28"/>
          <w:szCs w:val="28"/>
        </w:rPr>
        <w:t xml:space="preserve">) представляет собой маркетинговую стратегию, основанную на принципах устойчивого развития и </w:t>
      </w:r>
      <w:r w:rsidRPr="00B644BF">
        <w:rPr>
          <w:rFonts w:ascii="Times New Roman" w:hAnsi="Times New Roman" w:cs="Times New Roman"/>
          <w:sz w:val="28"/>
          <w:szCs w:val="28"/>
          <w:lang w:val="en-US"/>
        </w:rPr>
        <w:t>ESG</w:t>
      </w:r>
      <w:r w:rsidRPr="00B644BF">
        <w:rPr>
          <w:rFonts w:ascii="Times New Roman" w:hAnsi="Times New Roman" w:cs="Times New Roman"/>
          <w:sz w:val="28"/>
          <w:szCs w:val="28"/>
        </w:rPr>
        <w:t xml:space="preserve"> и ориентированную на формирование доверительных и взаимополезных отношений с клиентами и партнерами. Основные идеи </w:t>
      </w:r>
      <w:r w:rsidRPr="00B644BF">
        <w:rPr>
          <w:rFonts w:ascii="Times New Roman" w:hAnsi="Times New Roman" w:cs="Times New Roman"/>
          <w:sz w:val="28"/>
          <w:szCs w:val="28"/>
          <w:lang w:val="en-US"/>
        </w:rPr>
        <w:lastRenderedPageBreak/>
        <w:t>ESG</w:t>
      </w:r>
      <w:r w:rsidRPr="00B644BF">
        <w:rPr>
          <w:rFonts w:ascii="Times New Roman" w:hAnsi="Times New Roman" w:cs="Times New Roman"/>
          <w:sz w:val="28"/>
          <w:szCs w:val="28"/>
        </w:rPr>
        <w:t xml:space="preserve">-маркетинга включают повышение информированности общества об актуальных экологических и социальных проблемах; разработку и внедрение решений, направленных на обеспечение социальной и экологической ответственности организации, соблюдение принципов корпоративной этики, а также развитие организационных ценностей, основанных на защите окружающей среды, соблюдении трудовых прав и охране здоровья человека, обеспечении безопасности потребителей результатов деятельности предприятия [3]. </w:t>
      </w:r>
    </w:p>
    <w:p w:rsidR="003E77D8" w:rsidRPr="00B644BF" w:rsidRDefault="003E77D8" w:rsidP="00D60961">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В рамках ESG-подхода принято выделять три группы показателей. Экологические критерии отражают воздействие компании на окружающую среду – от уровня выбросов парниковых газов до использования ресурсов, энергоэффективности и обращения с отходами. Социальные показатели характеризуют отношения организации с сотрудниками, клиентами и обществом в целом, включая условия труда, соблюдение прав человека, развитие персонала и участие в общественных инициативах. Управленческие аспекты связаны с качеством корпоративного управления: прозрачностью деятельности, соблюдением законодательства, этическими стандартами, структурой руководства и системой управления рисками.</w:t>
      </w:r>
    </w:p>
    <w:p w:rsidR="003E77D8" w:rsidRPr="00B644BF" w:rsidRDefault="003E77D8" w:rsidP="00D60961">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Учет этих факторов позволяет компаниям точнее определять целевые сегменты рынка и формировать ценностные предложения, соответствующие ожиданиям аудитории. В свою очередь, внедрение ESG-принципов в маркетинг оказывает заметное влияние на развитие бизнеса: усиливает доверие со стороны клиентов и инвесторов, повышает прозрачность деятельности, влияет на потребительский выбор в пользу ответственных брендов и стимулирует внедрение инновационных решений в продукции и услугах.</w:t>
      </w:r>
    </w:p>
    <w:p w:rsidR="003E77D8" w:rsidRPr="00B644BF" w:rsidRDefault="003E77D8" w:rsidP="00D60961">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Практическая реализация ESG-маркетинга включает разнообразные инструменты. Среди них – коммуникационные кампании, подчеркивающие экологичность и социальную ответственность компании, раскрытие информации о снижении углеродного следа и использовании возобновляемых источников энергии, а также вовлечение клиентов в социальные и экологические проекты, направленные на улучшение качества жизни и поддержку устойчивого развития.</w:t>
      </w:r>
    </w:p>
    <w:p w:rsidR="003E77D8" w:rsidRPr="00B644BF" w:rsidRDefault="003E77D8" w:rsidP="00D60961">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Исходя из рассмотренных положений, можно дополнительно выделить еще два принципа, расширяющих понимание ESG-маркетинга. Во-первых, организация должна рассматривать ESG-маркетинг не как отдельный инструмент, а как основу своей бизнес-философии. Это означает, что принципы устойчивого развития и ESG интегрируются как во внутренние процессы, так и во взаимодействие с внешней средой.</w:t>
      </w:r>
    </w:p>
    <w:p w:rsidR="003E77D8" w:rsidRPr="00B644BF" w:rsidRDefault="003E77D8" w:rsidP="00D60961">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Во-вторых, успех нового продукта во многом определяется рядом факторов, связанных с ESG-подходом. Прежде всего, важна его дифференциация: товар должен обладать характеристиками, которые делают его более ценным для потребителей по сравнению с </w:t>
      </w:r>
      <w:r w:rsidRPr="00B644BF">
        <w:rPr>
          <w:rFonts w:ascii="Times New Roman" w:hAnsi="Times New Roman" w:cs="Times New Roman"/>
          <w:sz w:val="28"/>
          <w:szCs w:val="28"/>
        </w:rPr>
        <w:lastRenderedPageBreak/>
        <w:t>предложениями конкурентов, в том числе с учетом экологических, социальных и управленческих аспектов. Существенную роль играет и глубина маркетинговой экспертизы – способность компании точно понимать свою целевую аудиторию, ее потребности и особенности, что позволяет эффективно выстраивать взаимодействие с различными сегментами рынка.</w:t>
      </w:r>
    </w:p>
    <w:p w:rsidR="003E77D8" w:rsidRPr="00B644BF" w:rsidRDefault="003E77D8" w:rsidP="00D60961">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Не менее значимым фактором является повышение качества продукции с ориентацией на принципы устойчивого развития. Также важна согласованность между ключевыми направлениями деятельности компании – производством, научно-исследовательскими разработками и инвестициями, – которая достигается за счет комплексного учета ESG-факторов. </w:t>
      </w:r>
    </w:p>
    <w:p w:rsidR="003E77D8" w:rsidRPr="00B644BF" w:rsidRDefault="003E77D8" w:rsidP="00D60961">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Таким образом, в современных условиях внедрение ESG-принципов становится важным фактором развития маркетинговых коммуникаций и повышения устойчивости предприятий. Их применение способствует росту прозрачности, укреплению доверия со стороны заинтересованных сторон и усилению конкурентных позиций компании.</w:t>
      </w:r>
    </w:p>
    <w:p w:rsidR="003E77D8" w:rsidRPr="00B644BF" w:rsidRDefault="003E77D8" w:rsidP="00D60961">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ESG-маркетинг выступает как стратегический подход, позволяющий учитывать экологические, социальные и управленческие аспекты при взаимодействии с целевыми аудиториями. Это способствует формированию положительного имиджа организации и повышению лояльности потребителей.</w:t>
      </w:r>
    </w:p>
    <w:p w:rsidR="003E77D8" w:rsidRPr="006A0820" w:rsidRDefault="003E77D8" w:rsidP="00D60961">
      <w:pPr>
        <w:spacing w:after="0" w:line="240" w:lineRule="auto"/>
        <w:ind w:firstLine="709"/>
        <w:jc w:val="center"/>
        <w:rPr>
          <w:rFonts w:ascii="Times New Roman" w:hAnsi="Times New Roman" w:cs="Times New Roman"/>
          <w:b/>
          <w:bCs/>
          <w:sz w:val="28"/>
          <w:szCs w:val="28"/>
        </w:rPr>
      </w:pPr>
      <w:r w:rsidRPr="006A0820">
        <w:rPr>
          <w:rFonts w:ascii="Times New Roman" w:hAnsi="Times New Roman" w:cs="Times New Roman"/>
          <w:b/>
          <w:bCs/>
          <w:sz w:val="28"/>
          <w:szCs w:val="28"/>
        </w:rPr>
        <w:t>Список литературы</w:t>
      </w:r>
    </w:p>
    <w:p w:rsidR="003E77D8" w:rsidRPr="00D60961" w:rsidRDefault="003E77D8" w:rsidP="00D60961">
      <w:pPr>
        <w:pStyle w:val="a7"/>
        <w:numPr>
          <w:ilvl w:val="0"/>
          <w:numId w:val="7"/>
        </w:numPr>
        <w:tabs>
          <w:tab w:val="left" w:pos="993"/>
        </w:tabs>
        <w:spacing w:after="0" w:line="240" w:lineRule="auto"/>
        <w:ind w:left="0" w:firstLine="709"/>
        <w:jc w:val="both"/>
        <w:rPr>
          <w:rFonts w:ascii="Times New Roman" w:hAnsi="Times New Roman" w:cs="Times New Roman"/>
          <w:sz w:val="24"/>
          <w:szCs w:val="24"/>
        </w:rPr>
      </w:pPr>
      <w:r w:rsidRPr="00D60961">
        <w:rPr>
          <w:rFonts w:ascii="Times New Roman" w:hAnsi="Times New Roman" w:cs="Times New Roman"/>
          <w:sz w:val="24"/>
          <w:szCs w:val="24"/>
        </w:rPr>
        <w:t xml:space="preserve">Чижик А.С., Шиханцов А.О. Применение ESG-принципов для обеспечения высоких темпов роста устойчивых компаний / науч. рук. Л.В. Бутор // Приоритетные вопросы обеспечения высоких темпов роста национальной экономики в условиях зеленой экономики: материалы международной научно-практической конференции (14–15 марта 2025 г., Намаганский инженерно-технологический институт). – Наманган, 2025. – С. 191–196. </w:t>
      </w:r>
    </w:p>
    <w:p w:rsidR="003E77D8" w:rsidRPr="00D60961" w:rsidRDefault="003E77D8" w:rsidP="00D60961">
      <w:pPr>
        <w:pStyle w:val="a7"/>
        <w:numPr>
          <w:ilvl w:val="0"/>
          <w:numId w:val="7"/>
        </w:numPr>
        <w:tabs>
          <w:tab w:val="left" w:pos="993"/>
        </w:tabs>
        <w:spacing w:after="0" w:line="240" w:lineRule="auto"/>
        <w:ind w:left="0" w:firstLine="709"/>
        <w:jc w:val="both"/>
        <w:rPr>
          <w:rFonts w:ascii="Times New Roman" w:hAnsi="Times New Roman" w:cs="Times New Roman"/>
          <w:sz w:val="24"/>
          <w:szCs w:val="24"/>
        </w:rPr>
      </w:pPr>
      <w:r w:rsidRPr="00D60961">
        <w:rPr>
          <w:rFonts w:ascii="Times New Roman" w:hAnsi="Times New Roman" w:cs="Times New Roman"/>
          <w:sz w:val="24"/>
          <w:szCs w:val="24"/>
        </w:rPr>
        <w:t xml:space="preserve">ESG is Here to Stay [Электронный ресурс]. – Режим доступа: </w:t>
      </w:r>
      <w:hyperlink r:id="rId8" w:tgtFrame="_new" w:history="1">
        <w:r w:rsidRPr="00D60961">
          <w:rPr>
            <w:rStyle w:val="a5"/>
            <w:rFonts w:ascii="Times New Roman" w:hAnsi="Times New Roman" w:cs="Times New Roman"/>
            <w:color w:val="auto"/>
            <w:sz w:val="24"/>
            <w:szCs w:val="24"/>
          </w:rPr>
          <w:t>https://issuu.com/britcham01/docs/bihk_2021_mar_apr-web/s/11940781</w:t>
        </w:r>
      </w:hyperlink>
      <w:r w:rsidRPr="00D60961">
        <w:rPr>
          <w:rFonts w:ascii="Times New Roman" w:hAnsi="Times New Roman" w:cs="Times New Roman"/>
          <w:sz w:val="24"/>
          <w:szCs w:val="24"/>
        </w:rPr>
        <w:t xml:space="preserve"> (дата обращения: 03.05.2026). </w:t>
      </w:r>
    </w:p>
    <w:p w:rsidR="003E77D8" w:rsidRPr="00D60961" w:rsidRDefault="003E77D8" w:rsidP="00D60961">
      <w:pPr>
        <w:pStyle w:val="a7"/>
        <w:numPr>
          <w:ilvl w:val="0"/>
          <w:numId w:val="7"/>
        </w:numPr>
        <w:tabs>
          <w:tab w:val="left" w:pos="993"/>
        </w:tabs>
        <w:spacing w:after="0" w:line="240" w:lineRule="auto"/>
        <w:ind w:left="0" w:firstLine="709"/>
        <w:jc w:val="both"/>
        <w:rPr>
          <w:rFonts w:ascii="Times New Roman" w:hAnsi="Times New Roman" w:cs="Times New Roman"/>
          <w:sz w:val="24"/>
          <w:szCs w:val="24"/>
        </w:rPr>
      </w:pPr>
      <w:r w:rsidRPr="00D60961">
        <w:rPr>
          <w:rFonts w:ascii="Times New Roman" w:hAnsi="Times New Roman" w:cs="Times New Roman"/>
          <w:sz w:val="24"/>
          <w:szCs w:val="24"/>
        </w:rPr>
        <w:t xml:space="preserve">Аспекты устойчивого развития, ESG и маркетинг [Электронный ресурс]. – Режим доступа: </w:t>
      </w:r>
      <w:hyperlink r:id="rId9" w:history="1">
        <w:r w:rsidRPr="00D60961">
          <w:rPr>
            <w:rStyle w:val="a5"/>
            <w:rFonts w:ascii="Times New Roman" w:hAnsi="Times New Roman" w:cs="Times New Roman"/>
            <w:color w:val="auto"/>
            <w:sz w:val="24"/>
            <w:szCs w:val="24"/>
          </w:rPr>
          <w:t>https://innosfera.belnauka.by/jour/article/viewFile/862/796</w:t>
        </w:r>
      </w:hyperlink>
      <w:r w:rsidRPr="00D60961">
        <w:rPr>
          <w:rFonts w:ascii="Times New Roman" w:hAnsi="Times New Roman" w:cs="Times New Roman"/>
          <w:sz w:val="24"/>
          <w:szCs w:val="24"/>
        </w:rPr>
        <w:t xml:space="preserve"> (дата обращения: 03.05.2026).</w:t>
      </w:r>
    </w:p>
    <w:p w:rsidR="00D60961" w:rsidRDefault="00D60961" w:rsidP="003E77D8">
      <w:pPr>
        <w:widowControl w:val="0"/>
        <w:spacing w:after="0" w:line="240" w:lineRule="auto"/>
        <w:ind w:firstLine="709"/>
        <w:jc w:val="center"/>
        <w:rPr>
          <w:rFonts w:ascii="Times New Roman" w:eastAsia="Times New Roman" w:hAnsi="Times New Roman" w:cs="Times New Roman"/>
          <w:b/>
          <w:sz w:val="28"/>
          <w:szCs w:val="28"/>
        </w:rPr>
      </w:pPr>
    </w:p>
    <w:p w:rsidR="003E3EB5" w:rsidRPr="005021F4" w:rsidRDefault="003E3EB5" w:rsidP="003E3EB5">
      <w:pPr>
        <w:spacing w:after="0" w:line="240" w:lineRule="auto"/>
        <w:ind w:firstLine="709"/>
        <w:jc w:val="center"/>
        <w:rPr>
          <w:rFonts w:ascii="Times New Roman" w:eastAsia="Times New Roman" w:hAnsi="Times New Roman" w:cs="Times New Roman"/>
          <w:b/>
          <w:bCs/>
          <w:sz w:val="28"/>
          <w:szCs w:val="28"/>
        </w:rPr>
      </w:pPr>
      <w:r w:rsidRPr="005021F4">
        <w:rPr>
          <w:rFonts w:ascii="Times New Roman" w:eastAsia="Times New Roman" w:hAnsi="Times New Roman" w:cs="Times New Roman"/>
          <w:b/>
          <w:bCs/>
          <w:sz w:val="28"/>
          <w:szCs w:val="28"/>
        </w:rPr>
        <w:t>ЦИФРОВЫЕ ТЕХНОЛОГИИ КАК ФАКТОР ТРАНСФОРМАЦИИ ПРЕСТУПНОСТИ: УГОЛОВНО-ПРАВОВОЙ АСПЕКТ УСТОЙЧИВОГО РАЗВИТИЯ ОБЩЕСТВА</w:t>
      </w:r>
    </w:p>
    <w:p w:rsidR="003E3EB5" w:rsidRDefault="003E3EB5" w:rsidP="003E3EB5">
      <w:pPr>
        <w:spacing w:after="0" w:line="240" w:lineRule="auto"/>
        <w:ind w:firstLine="709"/>
        <w:jc w:val="center"/>
        <w:rPr>
          <w:rFonts w:ascii="Times New Roman" w:eastAsia="Times New Roman" w:hAnsi="Times New Roman" w:cs="Times New Roman"/>
          <w:bCs/>
          <w:sz w:val="28"/>
          <w:szCs w:val="28"/>
        </w:rPr>
      </w:pPr>
    </w:p>
    <w:p w:rsidR="003E3EB5" w:rsidRPr="005021F4" w:rsidRDefault="003E3EB5" w:rsidP="003E3EB5">
      <w:pPr>
        <w:spacing w:after="0" w:line="240" w:lineRule="auto"/>
        <w:ind w:firstLine="709"/>
        <w:jc w:val="center"/>
        <w:rPr>
          <w:rFonts w:ascii="Times New Roman" w:eastAsia="Times New Roman" w:hAnsi="Times New Roman" w:cs="Times New Roman"/>
          <w:b/>
          <w:bCs/>
          <w:sz w:val="28"/>
          <w:szCs w:val="28"/>
        </w:rPr>
      </w:pPr>
      <w:r w:rsidRPr="005021F4">
        <w:rPr>
          <w:rFonts w:ascii="Times New Roman" w:eastAsia="Times New Roman" w:hAnsi="Times New Roman" w:cs="Times New Roman"/>
          <w:b/>
          <w:bCs/>
          <w:sz w:val="28"/>
          <w:szCs w:val="28"/>
        </w:rPr>
        <w:t>Гурбанов Анар Эльшад оглы</w:t>
      </w:r>
    </w:p>
    <w:p w:rsidR="003E3EB5" w:rsidRDefault="003E3EB5" w:rsidP="003E3EB5">
      <w:pPr>
        <w:spacing w:after="0" w:line="240" w:lineRule="auto"/>
        <w:ind w:firstLine="709"/>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Магистрант кафедры юриспруденции</w:t>
      </w:r>
    </w:p>
    <w:p w:rsidR="003E3EB5" w:rsidRDefault="003E3EB5" w:rsidP="003E3EB5">
      <w:pPr>
        <w:spacing w:after="0" w:line="240" w:lineRule="auto"/>
        <w:ind w:firstLine="709"/>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учреждения образования «Могилевский государственный университет имени А. А. Кулешова»</w:t>
      </w:r>
    </w:p>
    <w:p w:rsidR="003E3EB5" w:rsidRDefault="003E3EB5" w:rsidP="003E3EB5">
      <w:pPr>
        <w:spacing w:after="0" w:line="240" w:lineRule="auto"/>
        <w:ind w:firstLine="709"/>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(г. Могилев, Беларусь)</w:t>
      </w:r>
    </w:p>
    <w:p w:rsidR="003E3EB5" w:rsidRDefault="003E3EB5" w:rsidP="003E3EB5">
      <w:pPr>
        <w:spacing w:after="0" w:line="240" w:lineRule="auto"/>
        <w:ind w:firstLine="709"/>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46_anar@mail.ru</w:t>
      </w:r>
    </w:p>
    <w:p w:rsidR="003E3EB5" w:rsidRDefault="003E3EB5" w:rsidP="003E3EB5">
      <w:pPr>
        <w:spacing w:after="0" w:line="240" w:lineRule="auto"/>
        <w:ind w:firstLine="709"/>
        <w:jc w:val="center"/>
        <w:rPr>
          <w:rFonts w:ascii="Times New Roman" w:eastAsia="Times New Roman" w:hAnsi="Times New Roman" w:cs="Times New Roman"/>
          <w:bCs/>
          <w:sz w:val="28"/>
          <w:szCs w:val="28"/>
        </w:rPr>
      </w:pPr>
    </w:p>
    <w:p w:rsidR="003E3EB5" w:rsidRDefault="003E3EB5" w:rsidP="003E3EB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Аннотация.</w:t>
      </w:r>
      <w:r>
        <w:rPr>
          <w:rFonts w:ascii="Times New Roman" w:eastAsia="Times New Roman" w:hAnsi="Times New Roman" w:cs="Times New Roman"/>
          <w:sz w:val="24"/>
          <w:szCs w:val="24"/>
        </w:rPr>
        <w:t> В статье представлены результаты анализа уголовно-правовой характеристики преступлений, совершаемых с использованием цифровых технологий, и системы мер их предупреждения. Цель работы — разработка научно обоснованного подхода к противодействию ИКТ-преступности как условию обеспечения устойчивого развития общества в условиях цифровой трансформации. Основное содержание включает анализ понятийного аппарата, классификацию деяний, криминологическую характеристику субъектов преступлений и оценку существующих правовых механизмов. Результатом исследования является обоснование необходимости комплексного совершенствования уголовного законодательства и правоприменительной практики Республики Беларусь в сфере противодействия киберпреступности.</w:t>
      </w:r>
    </w:p>
    <w:p w:rsidR="003E3EB5" w:rsidRDefault="003E3EB5" w:rsidP="003E3EB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Ключевые слова.</w:t>
      </w:r>
      <w:r>
        <w:rPr>
          <w:rFonts w:ascii="Times New Roman" w:eastAsia="Times New Roman" w:hAnsi="Times New Roman" w:cs="Times New Roman"/>
          <w:sz w:val="24"/>
          <w:szCs w:val="24"/>
        </w:rPr>
        <w:t> Цифровые технологии, киберпреступность, устойчивое развитие, уголовно-правовая характеристика, компьютерная безопасность, предупреждение преступлений, информационная безопасность, цифровая трансформация, криминология, искусственный интеллект.</w:t>
      </w:r>
    </w:p>
    <w:p w:rsidR="003E3EB5" w:rsidRDefault="003E3EB5" w:rsidP="003E3EB5">
      <w:pPr>
        <w:spacing w:after="0" w:line="240" w:lineRule="auto"/>
        <w:ind w:firstLine="709"/>
        <w:jc w:val="right"/>
        <w:rPr>
          <w:rFonts w:ascii="Times New Roman" w:eastAsia="Times New Roman" w:hAnsi="Times New Roman" w:cs="Times New Roman"/>
          <w:sz w:val="24"/>
          <w:szCs w:val="24"/>
        </w:rPr>
      </w:pPr>
    </w:p>
    <w:p w:rsidR="003E3EB5" w:rsidRDefault="003E3EB5" w:rsidP="003E3EB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Устойчивое развитие в эпоху цифровой трансформации невозможно без защиты информационного пространства от криминальных угроз. Цифровые технологии, являясь драйвером прогресса, порождают новые формы противоправного поведения. Преступления, совершаемые с использованием информационно-коммуникационных технологий (ИКТ), характеризуются трансграничностью, высокой латентностью, анонимностью субъекта и быстрой эволюцией способов совершения, что создает препятствия для устойчивого развития [4, с. 179]. Цель исследования – анализ уголовно-правовой характеристики ИКТ-преступлений и разработка мер их предупреждения в Республике Беларусь.</w:t>
      </w:r>
    </w:p>
    <w:p w:rsidR="003E3EB5" w:rsidRDefault="003E3EB5" w:rsidP="003E3EB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 преступлением, совершаемым с использованием ИКТ, понимается виновное общественно опасное деяние, при котором цифровые технологии выступают либо предметом посягательства, либо инструментом причинения вреда [. Разграничиваются две категории: компьютерные преступления (ст. 349, 350, 352, 354 УК Республики Беларусь), где предметом является компьютерная информация, и более широкий круг деяний, где ИКТ служат средством (ст. 212 УК – хищение с использованием компьютерной техники) [1; 2, с. 250].</w:t>
      </w:r>
    </w:p>
    <w:p w:rsidR="003E3EB5" w:rsidRDefault="003E3EB5" w:rsidP="003E3EB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Действующая санкционная система содержит диспропорцию: хищение с использованием ИКТ (ст. 212 УК) наказывается до 15 лет лишения свободы, тогда как разработка вредоносных программ (ст. 354 УК) – лишь до 10 лет, хотя способна причинить системный ущерб объектам критической инфраструктуры [1]. Уголовно-правовая политика должна учитывать специфику цифровой угрозы, поскольку атаки на системы энергоснабжения, транспорта и связи могут дестабилизировать целые регионы [3, с. 277].</w:t>
      </w:r>
    </w:p>
    <w:p w:rsidR="003E3EB5" w:rsidRDefault="003E3EB5" w:rsidP="003E3EB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Криминологическая характеристика ИКТ-преступлений показывает их отличие от традиционной преступности. Удельный вес таких деяний достигает 25–30% от общей регистрируемой преступности, доминируют дистанционные хищения [6, с. 141]. Высокая латентность обусловлена нежеланием потерпевших обращаться в правоохранительные органы и сложностью документирования [5, с. 17]. Субъект преступлений – молодой мужчина 18–35 лет с высоким образованием и техническими навыками, как правило, без судимости, что требует пересмотра профилактических подходов. Доминирующая мотивация – корыстная, также присутствует исследовательское любопытство. Профессиональный уровень киберпреступников растет, что требует повышения квалификации правоохранителей [7, с. 109].</w:t>
      </w:r>
    </w:p>
    <w:p w:rsidR="003E3EB5" w:rsidRDefault="003E3EB5" w:rsidP="003E3EB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Наиболее уязвимые группы жертв – пожилые граждане с низкой цифровой грамотностью и малый бизнес со слабой защитой информационных систем. Виктимологическая профилактика (повышение цифровой грамотности) является ключевым направлением превенции .</w:t>
      </w:r>
    </w:p>
    <w:p w:rsidR="003E3EB5" w:rsidRDefault="003E3EB5" w:rsidP="003E3EB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мер предупреждения ИКТ-преступлений как условие устойчивого развития включает правовые, организационные, технические и образовательные инструменты. Правовые меры: устранение пробелов в понятийном аппарате главы 31 УК (отсутствие определений «компьютерная информация», «существенный вред»), расширение квалифицирующих признаков (использование средств анонимизации, атаки на критическую инфраструктуру, применение ИИ), принятие руководящих разъяснений Верховного Суда [3; 4]. Организационные меры: создание специализированных подразделений правоохранительных органов и специализированных судебных составов [5, с. 126].</w:t>
      </w:r>
    </w:p>
    <w:p w:rsidR="003E3EB5" w:rsidRDefault="003E3EB5" w:rsidP="003E3EB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Технические меры: внедрение систем мониторинга сетевой активности, средств защиты информационных систем, инструментов цифровой криминалистики, а также законодательное закрепление обязательного уведомления об инцидентах информационной безопасности для снижения латентности. Образовательные меры направлены на формирование навыков безопасного поведения в цифровой среде у потенциальных жертв и правовое просвещение молодежи, обладают наибольшим долгосрочным потенциалом [7, с. 113].</w:t>
      </w:r>
    </w:p>
    <w:p w:rsidR="003E3EB5" w:rsidRDefault="003E3EB5" w:rsidP="003E3EB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Международное сотрудничество необходимо ввиду трансграничного характера ИКТ-преступлений. Для Беларуси актуальны активизация взаимодействия в рамках СНГ и ОДКБ, ускорение запросов о правовой помощи, оперативное сохранение электронных доказательств [3, с. 92].</w:t>
      </w:r>
    </w:p>
    <w:p w:rsidR="003E3EB5" w:rsidRDefault="003E3EB5" w:rsidP="003E3EB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Выводы: цифровые технологии создают новые вызовы для уголовной юстиции. Эффективное противодействие ИКТ-преступности – необходимое условие устойчивого развития. Требуется комплексное совершенствование законодательства (уточнение понятийного аппарата, расширение квалифицирующих признаков, адаптация к новым угрозам) и </w:t>
      </w:r>
      <w:r>
        <w:rPr>
          <w:rFonts w:ascii="Times New Roman" w:eastAsia="Times New Roman" w:hAnsi="Times New Roman" w:cs="Times New Roman"/>
          <w:sz w:val="28"/>
          <w:szCs w:val="28"/>
        </w:rPr>
        <w:lastRenderedPageBreak/>
        <w:t>развитие организационных, технических и образовательных мер предупреждения. Только интеграция этих направлений обеспечит безопасность личности, общества и государства в цифровую эпоху.</w:t>
      </w:r>
    </w:p>
    <w:p w:rsidR="003E3EB5" w:rsidRDefault="003E3EB5" w:rsidP="003E3EB5">
      <w:pPr>
        <w:spacing w:after="0" w:line="240" w:lineRule="auto"/>
        <w:ind w:firstLine="709"/>
        <w:jc w:val="both"/>
        <w:rPr>
          <w:rFonts w:ascii="Times New Roman" w:eastAsia="Times New Roman" w:hAnsi="Times New Roman" w:cs="Times New Roman"/>
          <w:sz w:val="28"/>
          <w:szCs w:val="28"/>
        </w:rPr>
      </w:pPr>
    </w:p>
    <w:p w:rsidR="003E3EB5" w:rsidRPr="006A0820" w:rsidRDefault="003E3EB5" w:rsidP="003E3EB5">
      <w:pPr>
        <w:spacing w:after="0" w:line="240" w:lineRule="auto"/>
        <w:ind w:firstLine="709"/>
        <w:jc w:val="center"/>
        <w:rPr>
          <w:rFonts w:ascii="Times New Roman" w:eastAsia="Times New Roman" w:hAnsi="Times New Roman" w:cs="Times New Roman"/>
          <w:b/>
          <w:sz w:val="28"/>
          <w:szCs w:val="28"/>
        </w:rPr>
      </w:pPr>
      <w:r w:rsidRPr="006A0820">
        <w:rPr>
          <w:rFonts w:ascii="Times New Roman" w:eastAsia="Times New Roman" w:hAnsi="Times New Roman" w:cs="Times New Roman"/>
          <w:b/>
          <w:sz w:val="28"/>
          <w:szCs w:val="28"/>
        </w:rPr>
        <w:t>Список литературы</w:t>
      </w:r>
    </w:p>
    <w:p w:rsidR="003E3EB5" w:rsidRDefault="003E3EB5" w:rsidP="003E3EB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Уголовный кодекс Республики Беларусь : 9 июля 1999 г., № 275-З // ЭТАЛОН. Законодательство Республики Беларусь / Нац. центр правовой информ. Респ. Беларусь. – Минск, 2026.. </w:t>
      </w:r>
    </w:p>
    <w:p w:rsidR="003E3EB5" w:rsidRDefault="003E3EB5" w:rsidP="003E3EB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hAnsi="Times New Roman" w:cs="Times New Roman"/>
        </w:rPr>
        <w:t xml:space="preserve"> </w:t>
      </w:r>
      <w:r>
        <w:rPr>
          <w:rFonts w:ascii="Times New Roman" w:eastAsia="Times New Roman" w:hAnsi="Times New Roman" w:cs="Times New Roman"/>
          <w:sz w:val="24"/>
          <w:szCs w:val="24"/>
        </w:rPr>
        <w:t>Соковнина, Е. И. Понятие и виды преступлений, совершаемых с использованием информационных технологий в сети «Интернет» / Е. И. Соковнина // Правоохранительная функция государства. – Москва : Издательство ИП Колупаева Е.В., 2022. – С. 249-252.</w:t>
      </w:r>
    </w:p>
    <w:p w:rsidR="003E3EB5" w:rsidRDefault="003E3EB5" w:rsidP="003E3EB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Русскевич, Е. А. Преступления, совершаемые с использованием информационно-коммуникационных технологий: проблемы международно-правового противодействия / Е. А. Русскевич // Противодействие преступлениям... – Рязань : Рязанский филиал Московского университета МВД России, 2018. – С. 90-98.</w:t>
      </w:r>
    </w:p>
    <w:p w:rsidR="003E3EB5" w:rsidRDefault="003E3EB5" w:rsidP="003E3EB5">
      <w:pPr>
        <w:spacing w:after="0" w:line="240" w:lineRule="auto"/>
        <w:ind w:firstLine="709"/>
        <w:jc w:val="both"/>
        <w:rPr>
          <w:rFonts w:ascii="Times New Roman" w:eastAsia="Times New Roman" w:hAnsi="Times New Roman" w:cs="Times New Roman"/>
          <w:sz w:val="24"/>
          <w:szCs w:val="24"/>
        </w:rPr>
      </w:pPr>
      <w:bookmarkStart w:id="0" w:name="_30j0zll" w:colFirst="0" w:colLast="0"/>
      <w:bookmarkEnd w:id="0"/>
      <w:r>
        <w:rPr>
          <w:rFonts w:ascii="Times New Roman" w:eastAsia="Times New Roman" w:hAnsi="Times New Roman" w:cs="Times New Roman"/>
          <w:sz w:val="24"/>
          <w:szCs w:val="24"/>
        </w:rPr>
        <w:t>4</w:t>
      </w:r>
      <w:r>
        <w:rPr>
          <w:rFonts w:ascii="Times New Roman" w:hAnsi="Times New Roman" w:cs="Times New Roman"/>
        </w:rPr>
        <w:t xml:space="preserve"> </w:t>
      </w:r>
      <w:r>
        <w:rPr>
          <w:rFonts w:ascii="Times New Roman" w:eastAsia="Times New Roman" w:hAnsi="Times New Roman" w:cs="Times New Roman"/>
          <w:sz w:val="24"/>
          <w:szCs w:val="24"/>
        </w:rPr>
        <w:t xml:space="preserve">Фетисов, П. И. Современное состояние преступлений, совершаемых с использованием информационных технологий / П. И. Фетисов // Вестник Тверского государственного университета. Серия: Право. – 2023. – № 4(76). – С. 178-185. </w:t>
      </w:r>
    </w:p>
    <w:p w:rsidR="003E3EB5" w:rsidRDefault="003E3EB5" w:rsidP="003E3EB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Корнаухова, Н. Г. Особенности выявления преступлений в сфере информационно-коммуникационных технологий / Н. Г. Корнаухова, О. И. Белокобыльская // Актуальные вопросы оперативно-розыскной деятельности. – Могилев : Могилевский институт МВД, 2021. – С. 15-21.</w:t>
      </w:r>
    </w:p>
    <w:p w:rsidR="003E3EB5" w:rsidRDefault="003E3EB5" w:rsidP="003E3EB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Харченко, О. В. Криминологическая характеристика противодействия противоправным деяниям, совершаемым с использованием ИКТ / О. В. Харченко // Закон. Право. Государство. – 2025. – № 1(45). – С. 140-143. </w:t>
      </w:r>
    </w:p>
    <w:p w:rsidR="003E3EB5" w:rsidRDefault="003E3EB5" w:rsidP="003E3EB5">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4"/>
          <w:szCs w:val="24"/>
        </w:rPr>
        <w:t>7. Аминов, И. Р. Актуальные проблемы расследования преступлений в сфере IT-технологий / И. Р. Аминов // Право и управление. – 2023. – № 8. – С. 107-111.</w:t>
      </w:r>
    </w:p>
    <w:p w:rsidR="00A05719" w:rsidRDefault="00A05719" w:rsidP="00A05719">
      <w:pPr>
        <w:pStyle w:val="2"/>
        <w:spacing w:before="0" w:after="0"/>
        <w:ind w:firstLine="709"/>
        <w:jc w:val="center"/>
        <w:rPr>
          <w:rFonts w:ascii="Times New Roman" w:eastAsia="Times New Roman" w:hAnsi="Times New Roman" w:cs="Times New Roman"/>
          <w:sz w:val="28"/>
          <w:szCs w:val="28"/>
        </w:rPr>
      </w:pPr>
    </w:p>
    <w:p w:rsidR="00A05719" w:rsidRPr="00A05719" w:rsidRDefault="00A05719" w:rsidP="00A05719">
      <w:pPr>
        <w:pStyle w:val="2"/>
        <w:spacing w:before="0" w:after="0"/>
        <w:ind w:firstLine="709"/>
        <w:jc w:val="center"/>
        <w:rPr>
          <w:rFonts w:ascii="Times New Roman" w:eastAsia="Times New Roman" w:hAnsi="Times New Roman" w:cs="Times New Roman"/>
          <w:sz w:val="28"/>
          <w:szCs w:val="28"/>
        </w:rPr>
      </w:pPr>
      <w:r w:rsidRPr="00A05719">
        <w:rPr>
          <w:rFonts w:ascii="Times New Roman" w:eastAsia="Times New Roman" w:hAnsi="Times New Roman" w:cs="Times New Roman"/>
          <w:sz w:val="28"/>
          <w:szCs w:val="28"/>
        </w:rPr>
        <w:t>ЗАЩИТА ПЕРСОНАЛЬНЫХ ДАННЫХ В РЕСПУБЛИКЕ БЕЛАРУСЬ</w:t>
      </w:r>
    </w:p>
    <w:p w:rsidR="00A05719" w:rsidRDefault="00A05719" w:rsidP="00A05719">
      <w:pPr>
        <w:widowControl w:val="0"/>
        <w:spacing w:after="0" w:line="240" w:lineRule="auto"/>
        <w:ind w:firstLine="709"/>
        <w:jc w:val="center"/>
        <w:rPr>
          <w:rFonts w:ascii="Times New Roman" w:eastAsia="Times New Roman" w:hAnsi="Times New Roman" w:cs="Times New Roman"/>
          <w:b/>
          <w:sz w:val="24"/>
          <w:szCs w:val="24"/>
        </w:rPr>
      </w:pPr>
    </w:p>
    <w:p w:rsidR="00A05719" w:rsidRPr="00A05719" w:rsidRDefault="00A05719" w:rsidP="00A05719">
      <w:pPr>
        <w:widowControl w:val="0"/>
        <w:spacing w:after="0" w:line="240" w:lineRule="auto"/>
        <w:ind w:firstLine="709"/>
        <w:jc w:val="center"/>
        <w:rPr>
          <w:rFonts w:ascii="Times New Roman" w:eastAsia="Times New Roman" w:hAnsi="Times New Roman" w:cs="Times New Roman"/>
          <w:b/>
          <w:iCs/>
          <w:sz w:val="28"/>
          <w:szCs w:val="28"/>
        </w:rPr>
      </w:pPr>
      <w:r w:rsidRPr="00A05719">
        <w:rPr>
          <w:rFonts w:ascii="Times New Roman" w:eastAsia="Times New Roman" w:hAnsi="Times New Roman" w:cs="Times New Roman"/>
          <w:b/>
          <w:sz w:val="28"/>
          <w:szCs w:val="28"/>
        </w:rPr>
        <w:t>Довыденко Иван Иванович</w:t>
      </w:r>
    </w:p>
    <w:p w:rsidR="00A05719" w:rsidRPr="00A05719" w:rsidRDefault="00A05719" w:rsidP="00A05719">
      <w:pPr>
        <w:widowControl w:val="0"/>
        <w:spacing w:after="0" w:line="240" w:lineRule="auto"/>
        <w:ind w:firstLine="709"/>
        <w:jc w:val="center"/>
        <w:rPr>
          <w:rFonts w:ascii="Times New Roman" w:eastAsia="Times New Roman" w:hAnsi="Times New Roman" w:cs="Times New Roman"/>
          <w:bCs/>
          <w:sz w:val="28"/>
          <w:szCs w:val="28"/>
        </w:rPr>
      </w:pPr>
      <w:r w:rsidRPr="00A05719">
        <w:rPr>
          <w:rFonts w:ascii="Times New Roman" w:eastAsia="Times New Roman" w:hAnsi="Times New Roman" w:cs="Times New Roman"/>
          <w:bCs/>
          <w:sz w:val="28"/>
          <w:szCs w:val="28"/>
        </w:rPr>
        <w:t>старший преподаватель кафедры юриспруденции</w:t>
      </w:r>
    </w:p>
    <w:p w:rsidR="00A05719" w:rsidRPr="00A05719" w:rsidRDefault="00A05719" w:rsidP="00A05719">
      <w:pPr>
        <w:widowControl w:val="0"/>
        <w:spacing w:after="0" w:line="240" w:lineRule="auto"/>
        <w:ind w:firstLine="709"/>
        <w:jc w:val="center"/>
        <w:rPr>
          <w:rFonts w:ascii="Times New Roman" w:eastAsia="Times New Roman" w:hAnsi="Times New Roman" w:cs="Times New Roman"/>
          <w:bCs/>
          <w:iCs/>
          <w:sz w:val="28"/>
          <w:szCs w:val="28"/>
        </w:rPr>
      </w:pPr>
      <w:r w:rsidRPr="00A05719">
        <w:rPr>
          <w:rFonts w:ascii="Times New Roman" w:eastAsia="Times New Roman" w:hAnsi="Times New Roman" w:cs="Times New Roman"/>
          <w:bCs/>
          <w:sz w:val="28"/>
          <w:szCs w:val="28"/>
        </w:rPr>
        <w:t xml:space="preserve">Учреждение образования </w:t>
      </w:r>
    </w:p>
    <w:p w:rsidR="00A05719" w:rsidRPr="00A05719" w:rsidRDefault="00A05719" w:rsidP="00A05719">
      <w:pPr>
        <w:widowControl w:val="0"/>
        <w:spacing w:after="0" w:line="240" w:lineRule="auto"/>
        <w:ind w:firstLine="709"/>
        <w:jc w:val="center"/>
        <w:rPr>
          <w:rFonts w:ascii="Times New Roman" w:eastAsia="Times New Roman" w:hAnsi="Times New Roman" w:cs="Times New Roman"/>
          <w:bCs/>
          <w:iCs/>
          <w:sz w:val="28"/>
          <w:szCs w:val="28"/>
        </w:rPr>
      </w:pPr>
      <w:r w:rsidRPr="00A05719">
        <w:rPr>
          <w:rFonts w:ascii="Times New Roman" w:eastAsia="Times New Roman" w:hAnsi="Times New Roman" w:cs="Times New Roman"/>
          <w:bCs/>
          <w:sz w:val="28"/>
          <w:szCs w:val="28"/>
        </w:rPr>
        <w:t>Могилевский государственный университет имени А.А. Кулешова</w:t>
      </w:r>
    </w:p>
    <w:p w:rsidR="00A05719" w:rsidRPr="00A05719" w:rsidRDefault="00A05719" w:rsidP="00A05719">
      <w:pPr>
        <w:widowControl w:val="0"/>
        <w:spacing w:after="0" w:line="240" w:lineRule="auto"/>
        <w:ind w:firstLine="709"/>
        <w:jc w:val="center"/>
        <w:rPr>
          <w:rFonts w:ascii="Times New Roman" w:eastAsia="Times New Roman" w:hAnsi="Times New Roman" w:cs="Times New Roman"/>
          <w:bCs/>
          <w:iCs/>
          <w:sz w:val="28"/>
          <w:szCs w:val="28"/>
        </w:rPr>
      </w:pPr>
      <w:r w:rsidRPr="00A05719">
        <w:rPr>
          <w:rFonts w:ascii="Times New Roman" w:eastAsia="Times New Roman" w:hAnsi="Times New Roman" w:cs="Times New Roman"/>
          <w:bCs/>
          <w:sz w:val="28"/>
          <w:szCs w:val="28"/>
        </w:rPr>
        <w:t>(Могилев, Беларусь)</w:t>
      </w:r>
    </w:p>
    <w:p w:rsidR="00A05719" w:rsidRPr="00A05719" w:rsidRDefault="00A05719" w:rsidP="00A05719">
      <w:pPr>
        <w:widowControl w:val="0"/>
        <w:spacing w:after="0" w:line="240" w:lineRule="auto"/>
        <w:ind w:firstLine="709"/>
        <w:jc w:val="center"/>
        <w:rPr>
          <w:rFonts w:ascii="Times New Roman" w:eastAsia="Times New Roman" w:hAnsi="Times New Roman" w:cs="Times New Roman"/>
          <w:bCs/>
          <w:iCs/>
          <w:sz w:val="28"/>
          <w:szCs w:val="28"/>
        </w:rPr>
      </w:pPr>
      <w:r w:rsidRPr="00A05719">
        <w:rPr>
          <w:rFonts w:ascii="Times New Roman" w:eastAsia="Times New Roman" w:hAnsi="Times New Roman" w:cs="Times New Roman"/>
          <w:bCs/>
          <w:sz w:val="28"/>
          <w:szCs w:val="28"/>
          <w:lang w:val="en-US"/>
        </w:rPr>
        <w:t>dovydenko</w:t>
      </w:r>
      <w:r w:rsidRPr="00A05719">
        <w:rPr>
          <w:rFonts w:ascii="Times New Roman" w:eastAsia="Times New Roman" w:hAnsi="Times New Roman" w:cs="Times New Roman"/>
          <w:bCs/>
          <w:sz w:val="28"/>
          <w:szCs w:val="28"/>
        </w:rPr>
        <w:t>_</w:t>
      </w:r>
      <w:r w:rsidRPr="00A05719">
        <w:rPr>
          <w:rFonts w:ascii="Times New Roman" w:eastAsia="Times New Roman" w:hAnsi="Times New Roman" w:cs="Times New Roman"/>
          <w:bCs/>
          <w:sz w:val="28"/>
          <w:szCs w:val="28"/>
          <w:lang w:val="en-US"/>
        </w:rPr>
        <w:t>ii</w:t>
      </w:r>
      <w:r w:rsidRPr="00A05719">
        <w:rPr>
          <w:rFonts w:ascii="Times New Roman" w:eastAsia="Times New Roman" w:hAnsi="Times New Roman" w:cs="Times New Roman"/>
          <w:bCs/>
          <w:sz w:val="28"/>
          <w:szCs w:val="28"/>
        </w:rPr>
        <w:t>@</w:t>
      </w:r>
      <w:r w:rsidRPr="00A05719">
        <w:rPr>
          <w:rFonts w:ascii="Times New Roman" w:eastAsia="Times New Roman" w:hAnsi="Times New Roman" w:cs="Times New Roman"/>
          <w:bCs/>
          <w:sz w:val="28"/>
          <w:szCs w:val="28"/>
          <w:lang w:val="en-US"/>
        </w:rPr>
        <w:t>m</w:t>
      </w:r>
      <w:r w:rsidRPr="00A05719">
        <w:rPr>
          <w:rFonts w:ascii="Times New Roman" w:eastAsia="Times New Roman" w:hAnsi="Times New Roman" w:cs="Times New Roman"/>
          <w:bCs/>
          <w:sz w:val="28"/>
          <w:szCs w:val="28"/>
        </w:rPr>
        <w:t>.</w:t>
      </w:r>
      <w:r w:rsidRPr="00A05719">
        <w:rPr>
          <w:rFonts w:ascii="Times New Roman" w:eastAsia="Times New Roman" w:hAnsi="Times New Roman" w:cs="Times New Roman"/>
          <w:bCs/>
          <w:sz w:val="28"/>
          <w:szCs w:val="28"/>
          <w:lang w:val="en-US"/>
        </w:rPr>
        <w:t>msu</w:t>
      </w:r>
      <w:r w:rsidRPr="00A05719">
        <w:rPr>
          <w:rFonts w:ascii="Times New Roman" w:eastAsia="Times New Roman" w:hAnsi="Times New Roman" w:cs="Times New Roman"/>
          <w:bCs/>
          <w:sz w:val="28"/>
          <w:szCs w:val="28"/>
        </w:rPr>
        <w:t>.</w:t>
      </w:r>
      <w:r w:rsidRPr="00A05719">
        <w:rPr>
          <w:rFonts w:ascii="Times New Roman" w:eastAsia="Times New Roman" w:hAnsi="Times New Roman" w:cs="Times New Roman"/>
          <w:bCs/>
          <w:sz w:val="28"/>
          <w:szCs w:val="28"/>
          <w:lang w:val="en-US"/>
        </w:rPr>
        <w:t>by</w:t>
      </w:r>
    </w:p>
    <w:p w:rsidR="00A05719" w:rsidRPr="00A05719" w:rsidRDefault="00A05719" w:rsidP="00A05719">
      <w:pPr>
        <w:widowControl w:val="0"/>
        <w:spacing w:after="0" w:line="240" w:lineRule="auto"/>
        <w:ind w:firstLine="709"/>
        <w:jc w:val="center"/>
        <w:rPr>
          <w:rFonts w:ascii="Times New Roman" w:eastAsia="Times New Roman" w:hAnsi="Times New Roman" w:cs="Times New Roman"/>
          <w:b/>
          <w:iCs/>
          <w:sz w:val="28"/>
          <w:szCs w:val="28"/>
        </w:rPr>
      </w:pPr>
      <w:r w:rsidRPr="00A05719">
        <w:rPr>
          <w:rFonts w:ascii="Times New Roman" w:eastAsia="Times New Roman" w:hAnsi="Times New Roman" w:cs="Times New Roman"/>
          <w:b/>
          <w:sz w:val="28"/>
          <w:szCs w:val="28"/>
        </w:rPr>
        <w:t>Слепцов Андрей Витальевич</w:t>
      </w:r>
    </w:p>
    <w:p w:rsidR="00A05719" w:rsidRPr="00A05719" w:rsidRDefault="00A05719" w:rsidP="00A05719">
      <w:pPr>
        <w:widowControl w:val="0"/>
        <w:spacing w:after="0" w:line="240" w:lineRule="auto"/>
        <w:ind w:firstLine="709"/>
        <w:jc w:val="center"/>
        <w:rPr>
          <w:rFonts w:ascii="Times New Roman" w:eastAsia="Times New Roman" w:hAnsi="Times New Roman" w:cs="Times New Roman"/>
          <w:bCs/>
          <w:sz w:val="28"/>
          <w:szCs w:val="28"/>
        </w:rPr>
      </w:pPr>
      <w:r w:rsidRPr="00A05719">
        <w:rPr>
          <w:rFonts w:ascii="Times New Roman" w:eastAsia="Times New Roman" w:hAnsi="Times New Roman" w:cs="Times New Roman"/>
          <w:bCs/>
          <w:sz w:val="28"/>
          <w:szCs w:val="28"/>
        </w:rPr>
        <w:t>доцент кафедры юриспруденции, кандидат юридических наук</w:t>
      </w:r>
    </w:p>
    <w:p w:rsidR="00A05719" w:rsidRPr="00A05719" w:rsidRDefault="00A05719" w:rsidP="00A05719">
      <w:pPr>
        <w:widowControl w:val="0"/>
        <w:spacing w:after="0" w:line="240" w:lineRule="auto"/>
        <w:ind w:firstLine="709"/>
        <w:jc w:val="center"/>
        <w:rPr>
          <w:rFonts w:ascii="Times New Roman" w:eastAsia="Times New Roman" w:hAnsi="Times New Roman" w:cs="Times New Roman"/>
          <w:bCs/>
          <w:iCs/>
          <w:sz w:val="28"/>
          <w:szCs w:val="28"/>
        </w:rPr>
      </w:pPr>
      <w:r w:rsidRPr="00A05719">
        <w:rPr>
          <w:rFonts w:ascii="Times New Roman" w:eastAsia="Times New Roman" w:hAnsi="Times New Roman" w:cs="Times New Roman"/>
          <w:bCs/>
          <w:sz w:val="28"/>
          <w:szCs w:val="28"/>
        </w:rPr>
        <w:t xml:space="preserve">Учреждение образования </w:t>
      </w:r>
    </w:p>
    <w:p w:rsidR="00A05719" w:rsidRPr="00A05719" w:rsidRDefault="00A05719" w:rsidP="00A05719">
      <w:pPr>
        <w:widowControl w:val="0"/>
        <w:spacing w:after="0" w:line="240" w:lineRule="auto"/>
        <w:ind w:firstLine="709"/>
        <w:jc w:val="center"/>
        <w:rPr>
          <w:rFonts w:ascii="Times New Roman" w:eastAsia="Times New Roman" w:hAnsi="Times New Roman" w:cs="Times New Roman"/>
          <w:bCs/>
          <w:iCs/>
          <w:sz w:val="28"/>
          <w:szCs w:val="28"/>
        </w:rPr>
      </w:pPr>
      <w:r w:rsidRPr="00A05719">
        <w:rPr>
          <w:rFonts w:ascii="Times New Roman" w:eastAsia="Times New Roman" w:hAnsi="Times New Roman" w:cs="Times New Roman"/>
          <w:bCs/>
          <w:sz w:val="28"/>
          <w:szCs w:val="28"/>
        </w:rPr>
        <w:t>Могилевский государственный университет имени А.А. Кулешова</w:t>
      </w:r>
    </w:p>
    <w:p w:rsidR="00A05719" w:rsidRPr="00A05719" w:rsidRDefault="00A05719" w:rsidP="00A05719">
      <w:pPr>
        <w:widowControl w:val="0"/>
        <w:spacing w:after="0" w:line="240" w:lineRule="auto"/>
        <w:ind w:firstLine="709"/>
        <w:jc w:val="center"/>
        <w:rPr>
          <w:rFonts w:ascii="Times New Roman" w:eastAsia="Times New Roman" w:hAnsi="Times New Roman" w:cs="Times New Roman"/>
          <w:bCs/>
          <w:iCs/>
          <w:sz w:val="28"/>
          <w:szCs w:val="28"/>
        </w:rPr>
      </w:pPr>
      <w:r w:rsidRPr="00A05719">
        <w:rPr>
          <w:rFonts w:ascii="Times New Roman" w:eastAsia="Times New Roman" w:hAnsi="Times New Roman" w:cs="Times New Roman"/>
          <w:bCs/>
          <w:sz w:val="28"/>
          <w:szCs w:val="28"/>
        </w:rPr>
        <w:t>(Могилев, Беларусь)</w:t>
      </w:r>
    </w:p>
    <w:p w:rsidR="00A05719" w:rsidRPr="00A05719" w:rsidRDefault="00A05719" w:rsidP="00A05719">
      <w:pPr>
        <w:pStyle w:val="2"/>
        <w:spacing w:before="0" w:after="0"/>
        <w:ind w:left="3539" w:firstLine="709"/>
        <w:jc w:val="both"/>
        <w:rPr>
          <w:rFonts w:ascii="Times New Roman" w:eastAsia="Times New Roman" w:hAnsi="Times New Roman" w:cs="Times New Roman"/>
          <w:sz w:val="28"/>
          <w:szCs w:val="28"/>
        </w:rPr>
      </w:pPr>
      <w:r w:rsidRPr="00A05719">
        <w:rPr>
          <w:rFonts w:ascii="Times New Roman" w:eastAsia="Times New Roman" w:hAnsi="Times New Roman" w:cs="Times New Roman"/>
          <w:b w:val="0"/>
          <w:sz w:val="28"/>
          <w:szCs w:val="28"/>
          <w:lang w:val="en-US"/>
        </w:rPr>
        <w:t>sleptcov</w:t>
      </w:r>
      <w:r w:rsidRPr="00A05719">
        <w:rPr>
          <w:rFonts w:ascii="Times New Roman" w:eastAsia="Times New Roman" w:hAnsi="Times New Roman" w:cs="Times New Roman"/>
          <w:b w:val="0"/>
          <w:sz w:val="28"/>
          <w:szCs w:val="28"/>
        </w:rPr>
        <w:t>@</w:t>
      </w:r>
      <w:r w:rsidRPr="00A05719">
        <w:rPr>
          <w:rFonts w:ascii="Times New Roman" w:eastAsia="Times New Roman" w:hAnsi="Times New Roman" w:cs="Times New Roman"/>
          <w:b w:val="0"/>
          <w:sz w:val="28"/>
          <w:szCs w:val="28"/>
          <w:lang w:val="en-US"/>
        </w:rPr>
        <w:t>m</w:t>
      </w:r>
      <w:r w:rsidRPr="00A05719">
        <w:rPr>
          <w:rFonts w:ascii="Times New Roman" w:eastAsia="Times New Roman" w:hAnsi="Times New Roman" w:cs="Times New Roman"/>
          <w:b w:val="0"/>
          <w:sz w:val="28"/>
          <w:szCs w:val="28"/>
        </w:rPr>
        <w:t>.</w:t>
      </w:r>
      <w:r w:rsidRPr="00A05719">
        <w:rPr>
          <w:rFonts w:ascii="Times New Roman" w:eastAsia="Times New Roman" w:hAnsi="Times New Roman" w:cs="Times New Roman"/>
          <w:b w:val="0"/>
          <w:sz w:val="28"/>
          <w:szCs w:val="28"/>
          <w:lang w:val="en-US"/>
        </w:rPr>
        <w:t>msu</w:t>
      </w:r>
      <w:r w:rsidRPr="00A05719">
        <w:rPr>
          <w:rFonts w:ascii="Times New Roman" w:eastAsia="Times New Roman" w:hAnsi="Times New Roman" w:cs="Times New Roman"/>
          <w:b w:val="0"/>
          <w:sz w:val="28"/>
          <w:szCs w:val="28"/>
        </w:rPr>
        <w:t>.</w:t>
      </w:r>
      <w:r w:rsidRPr="00A05719">
        <w:rPr>
          <w:rFonts w:ascii="Times New Roman" w:eastAsia="Times New Roman" w:hAnsi="Times New Roman" w:cs="Times New Roman"/>
          <w:b w:val="0"/>
          <w:sz w:val="28"/>
          <w:szCs w:val="28"/>
          <w:lang w:val="en-US"/>
        </w:rPr>
        <w:t>by</w:t>
      </w:r>
    </w:p>
    <w:p w:rsidR="00A05719" w:rsidRDefault="00A05719" w:rsidP="00A05719">
      <w:pPr>
        <w:pStyle w:val="a9"/>
        <w:spacing w:before="0" w:beforeAutospacing="0" w:after="0" w:afterAutospacing="0"/>
        <w:ind w:firstLine="709"/>
        <w:jc w:val="both"/>
        <w:rPr>
          <w:sz w:val="28"/>
          <w:szCs w:val="28"/>
          <w:lang w:val="ru-RU"/>
        </w:rPr>
      </w:pPr>
    </w:p>
    <w:p w:rsidR="00A05719" w:rsidRPr="00A05719" w:rsidRDefault="00A05719" w:rsidP="00A05719">
      <w:pPr>
        <w:pStyle w:val="a9"/>
        <w:spacing w:before="0" w:beforeAutospacing="0" w:after="0" w:afterAutospacing="0"/>
        <w:ind w:firstLine="709"/>
        <w:jc w:val="both"/>
        <w:rPr>
          <w:sz w:val="28"/>
          <w:szCs w:val="28"/>
          <w:lang w:val="ru-RU"/>
        </w:rPr>
      </w:pPr>
      <w:r w:rsidRPr="00A05719">
        <w:rPr>
          <w:sz w:val="28"/>
          <w:szCs w:val="28"/>
          <w:lang w:val="ru-RU"/>
        </w:rPr>
        <w:lastRenderedPageBreak/>
        <w:t>В современном цифровом мире персональные данные стали одним из наиболее ценных активов. Их сбор, обработка и хранение сопровождают практически все сферы человеческой деятельности, от личной переписки до финансовых операций и медицинских записей. В связи с этим, вопросы защиты персональных данных приобретают особую актуальность, требуя постоянного совершенствования законодательства и правоприменительной практики. Республика Беларусь, стремясь соответствовать международным стандартам и обеспечить безопасность своих граждан, активно развивает нормативно-правовую базу в этой области. Данная статья посвящена анализу текущего состояния и перспектив защиты персональных данных в Республике Беларусь к 2026 году, с акцентом на законодательное определение, сравнительную характеристику с ведущими юрисдикциями и выявление ключевых проблем, требующих решения.</w:t>
      </w:r>
    </w:p>
    <w:p w:rsidR="00A05719" w:rsidRPr="00A05719" w:rsidRDefault="00A05719" w:rsidP="00A05719">
      <w:pPr>
        <w:pStyle w:val="a9"/>
        <w:spacing w:before="0" w:beforeAutospacing="0" w:after="0" w:afterAutospacing="0"/>
        <w:ind w:firstLine="709"/>
        <w:jc w:val="both"/>
        <w:rPr>
          <w:sz w:val="28"/>
          <w:szCs w:val="28"/>
          <w:lang w:val="ru-RU"/>
        </w:rPr>
      </w:pPr>
      <w:r w:rsidRPr="00A05719">
        <w:rPr>
          <w:sz w:val="28"/>
          <w:szCs w:val="28"/>
          <w:lang w:val="ru-RU"/>
        </w:rPr>
        <w:t>Законодательство Республики Беларусь определяет персональные данные как "любые сведения, относящиеся к идентифицированному или идентифицируемому физическому лицу (субъекту персональных данных)". Ключевым нормативным актом, регулирующим отношения в сфере защиты персональных данных, является Закон Республики Беларусь от 7 мая 2021 г. № 98-З "О защите персональных данных" (далее – Закон о защите ПД).</w:t>
      </w:r>
    </w:p>
    <w:p w:rsidR="00A05719" w:rsidRPr="00A05719" w:rsidRDefault="00A05719" w:rsidP="00A05719">
      <w:pPr>
        <w:pStyle w:val="a9"/>
        <w:spacing w:before="0" w:beforeAutospacing="0" w:after="0" w:afterAutospacing="0"/>
        <w:ind w:firstLine="709"/>
        <w:jc w:val="both"/>
        <w:rPr>
          <w:sz w:val="28"/>
          <w:szCs w:val="28"/>
          <w:lang w:val="ru-RU"/>
        </w:rPr>
      </w:pPr>
      <w:r w:rsidRPr="00A05719">
        <w:rPr>
          <w:sz w:val="28"/>
          <w:szCs w:val="28"/>
          <w:lang w:val="ru-RU"/>
        </w:rPr>
        <w:t xml:space="preserve">В соответствии с Законом о защите ПД, </w:t>
      </w:r>
      <w:r w:rsidRPr="00A05719">
        <w:rPr>
          <w:rStyle w:val="a6"/>
          <w:b w:val="0"/>
          <w:i/>
          <w:sz w:val="28"/>
          <w:szCs w:val="28"/>
          <w:lang w:val="ru-RU"/>
        </w:rPr>
        <w:t>защита персональных данных</w:t>
      </w:r>
      <w:r w:rsidRPr="00A05719">
        <w:rPr>
          <w:sz w:val="28"/>
          <w:szCs w:val="28"/>
          <w:lang w:val="ru-RU"/>
        </w:rPr>
        <w:t xml:space="preserve"> представляет собой комплекс мер, направленных на:</w:t>
      </w:r>
    </w:p>
    <w:p w:rsidR="00A05719" w:rsidRPr="00A05719" w:rsidRDefault="00A05719" w:rsidP="00A05719">
      <w:pPr>
        <w:numPr>
          <w:ilvl w:val="0"/>
          <w:numId w:val="34"/>
        </w:numPr>
        <w:spacing w:after="0" w:line="240" w:lineRule="auto"/>
        <w:ind w:left="0" w:firstLine="709"/>
        <w:jc w:val="both"/>
        <w:rPr>
          <w:rFonts w:ascii="Times New Roman" w:eastAsia="Times New Roman" w:hAnsi="Times New Roman" w:cs="Times New Roman"/>
          <w:sz w:val="28"/>
          <w:szCs w:val="28"/>
        </w:rPr>
      </w:pPr>
      <w:r w:rsidRPr="00A05719">
        <w:rPr>
          <w:rStyle w:val="a6"/>
          <w:rFonts w:ascii="Times New Roman" w:eastAsia="Times New Roman" w:hAnsi="Times New Roman" w:cs="Times New Roman"/>
          <w:b w:val="0"/>
          <w:i/>
          <w:sz w:val="28"/>
          <w:szCs w:val="28"/>
        </w:rPr>
        <w:t>Предотвращение несанкционированного доступа</w:t>
      </w:r>
      <w:r w:rsidRPr="00A05719">
        <w:rPr>
          <w:rFonts w:ascii="Times New Roman" w:eastAsia="Times New Roman" w:hAnsi="Times New Roman" w:cs="Times New Roman"/>
          <w:sz w:val="28"/>
          <w:szCs w:val="28"/>
        </w:rPr>
        <w:t xml:space="preserve"> к персональным данным.</w:t>
      </w:r>
    </w:p>
    <w:p w:rsidR="00A05719" w:rsidRPr="00A05719" w:rsidRDefault="00A05719" w:rsidP="00A05719">
      <w:pPr>
        <w:numPr>
          <w:ilvl w:val="0"/>
          <w:numId w:val="34"/>
        </w:numPr>
        <w:spacing w:after="0" w:line="240" w:lineRule="auto"/>
        <w:ind w:left="0" w:firstLine="709"/>
        <w:jc w:val="both"/>
        <w:rPr>
          <w:rFonts w:ascii="Times New Roman" w:eastAsia="Times New Roman" w:hAnsi="Times New Roman" w:cs="Times New Roman"/>
          <w:sz w:val="28"/>
          <w:szCs w:val="28"/>
        </w:rPr>
      </w:pPr>
      <w:r w:rsidRPr="00A05719">
        <w:rPr>
          <w:rStyle w:val="a6"/>
          <w:rFonts w:ascii="Times New Roman" w:eastAsia="Times New Roman" w:hAnsi="Times New Roman" w:cs="Times New Roman"/>
          <w:b w:val="0"/>
          <w:i/>
          <w:sz w:val="28"/>
          <w:szCs w:val="28"/>
        </w:rPr>
        <w:t>Предотвращение несанкционированного изменения, уничтожения, блокирования, копирования, предоставления, распространения, а также иных неправомерных действий</w:t>
      </w:r>
      <w:r w:rsidRPr="00A05719">
        <w:rPr>
          <w:rFonts w:ascii="Times New Roman" w:eastAsia="Times New Roman" w:hAnsi="Times New Roman" w:cs="Times New Roman"/>
          <w:sz w:val="28"/>
          <w:szCs w:val="28"/>
        </w:rPr>
        <w:t xml:space="preserve"> в отношении персональных данных.</w:t>
      </w:r>
    </w:p>
    <w:p w:rsidR="00A05719" w:rsidRPr="00A05719" w:rsidRDefault="00A05719" w:rsidP="00A05719">
      <w:pPr>
        <w:numPr>
          <w:ilvl w:val="0"/>
          <w:numId w:val="34"/>
        </w:numPr>
        <w:spacing w:after="0" w:line="240" w:lineRule="auto"/>
        <w:ind w:left="0" w:firstLine="709"/>
        <w:jc w:val="both"/>
        <w:rPr>
          <w:rFonts w:ascii="Times New Roman" w:eastAsia="Times New Roman" w:hAnsi="Times New Roman" w:cs="Times New Roman"/>
          <w:b/>
          <w:i/>
          <w:sz w:val="28"/>
          <w:szCs w:val="28"/>
        </w:rPr>
      </w:pPr>
      <w:r w:rsidRPr="00A05719">
        <w:rPr>
          <w:rStyle w:val="a6"/>
          <w:rFonts w:ascii="Times New Roman" w:eastAsia="Times New Roman" w:hAnsi="Times New Roman" w:cs="Times New Roman"/>
          <w:b w:val="0"/>
          <w:i/>
          <w:sz w:val="28"/>
          <w:szCs w:val="28"/>
        </w:rPr>
        <w:t>Обеспечение законности, целесообразности и прозрачности обработки персональных данных</w:t>
      </w:r>
      <w:r w:rsidRPr="00A05719">
        <w:rPr>
          <w:rFonts w:ascii="Times New Roman" w:eastAsia="Times New Roman" w:hAnsi="Times New Roman" w:cs="Times New Roman"/>
          <w:b/>
          <w:i/>
          <w:sz w:val="28"/>
          <w:szCs w:val="28"/>
        </w:rPr>
        <w:t>.</w:t>
      </w:r>
    </w:p>
    <w:p w:rsidR="00A05719" w:rsidRPr="00A05719" w:rsidRDefault="00A05719" w:rsidP="00A05719">
      <w:pPr>
        <w:numPr>
          <w:ilvl w:val="0"/>
          <w:numId w:val="34"/>
        </w:numPr>
        <w:spacing w:after="0" w:line="240" w:lineRule="auto"/>
        <w:ind w:left="0" w:firstLine="709"/>
        <w:jc w:val="both"/>
        <w:rPr>
          <w:rFonts w:ascii="Times New Roman" w:eastAsia="Times New Roman" w:hAnsi="Times New Roman" w:cs="Times New Roman"/>
          <w:sz w:val="28"/>
          <w:szCs w:val="28"/>
        </w:rPr>
      </w:pPr>
      <w:r w:rsidRPr="00A05719">
        <w:rPr>
          <w:rStyle w:val="a6"/>
          <w:rFonts w:ascii="Times New Roman" w:eastAsia="Times New Roman" w:hAnsi="Times New Roman" w:cs="Times New Roman"/>
          <w:b w:val="0"/>
          <w:i/>
          <w:sz w:val="28"/>
          <w:szCs w:val="28"/>
        </w:rPr>
        <w:t>Соблюдение прав и свобод субъектов персональных данных</w:t>
      </w:r>
      <w:r w:rsidRPr="00A05719">
        <w:rPr>
          <w:rFonts w:ascii="Times New Roman" w:eastAsia="Times New Roman" w:hAnsi="Times New Roman" w:cs="Times New Roman"/>
          <w:sz w:val="28"/>
          <w:szCs w:val="28"/>
        </w:rPr>
        <w:t>, включая право на доступ, исправление, удаление, ограничение обработки и переносимость своих данных.</w:t>
      </w:r>
    </w:p>
    <w:p w:rsidR="00A05719" w:rsidRPr="00A05719" w:rsidRDefault="00A05719" w:rsidP="00A05719">
      <w:pPr>
        <w:pStyle w:val="a9"/>
        <w:spacing w:before="0" w:beforeAutospacing="0" w:after="0" w:afterAutospacing="0"/>
        <w:ind w:firstLine="709"/>
        <w:jc w:val="both"/>
        <w:rPr>
          <w:sz w:val="28"/>
          <w:szCs w:val="28"/>
          <w:lang w:val="ru-RU"/>
        </w:rPr>
      </w:pPr>
      <w:r w:rsidRPr="00A05719">
        <w:rPr>
          <w:sz w:val="28"/>
          <w:szCs w:val="28"/>
          <w:lang w:val="ru-RU"/>
        </w:rPr>
        <w:t xml:space="preserve">Закон о защите ПД устанавливает ряд принципов обработки персональных данных, таких как: законность, справедливость, ограничение цели, минимизация данных, точность, ограничение хранения, целостность и конфиденциальность. Операторы персональных данных (юридические лица, индивидуальные предприниматели, государственные органы, иные организации, самостоятельно или совместно с другими лицами организующие и (или) осуществляющие обработку персональных данных и определяющие цели обработки персональных данных, состав подлежащих обработке персональных данных, совершаемые с </w:t>
      </w:r>
      <w:r w:rsidRPr="00A05719">
        <w:rPr>
          <w:sz w:val="28"/>
          <w:szCs w:val="28"/>
          <w:lang w:val="ru-RU"/>
        </w:rPr>
        <w:lastRenderedPageBreak/>
        <w:t>персональными данными действия (операции)) обязаны принимать меры по обеспечению безопасности персональных данных, включая организационные и технические меры.</w:t>
      </w:r>
    </w:p>
    <w:p w:rsidR="00A05719" w:rsidRPr="00A05719" w:rsidRDefault="00A05719" w:rsidP="00A05719">
      <w:pPr>
        <w:pStyle w:val="a9"/>
        <w:spacing w:before="0" w:beforeAutospacing="0" w:after="0" w:afterAutospacing="0"/>
        <w:ind w:firstLine="709"/>
        <w:jc w:val="both"/>
        <w:rPr>
          <w:b/>
          <w:i/>
          <w:sz w:val="28"/>
          <w:szCs w:val="28"/>
          <w:lang w:val="ru-RU"/>
        </w:rPr>
      </w:pPr>
      <w:r w:rsidRPr="00A05719">
        <w:rPr>
          <w:rStyle w:val="a6"/>
          <w:b w:val="0"/>
          <w:i/>
          <w:sz w:val="28"/>
          <w:szCs w:val="28"/>
          <w:lang w:val="ru-RU"/>
        </w:rPr>
        <w:t>Анализ сравнительной характеристики:</w:t>
      </w:r>
    </w:p>
    <w:p w:rsidR="00A05719" w:rsidRPr="00A05719" w:rsidRDefault="00A05719" w:rsidP="00A05719">
      <w:pPr>
        <w:pStyle w:val="a9"/>
        <w:spacing w:before="0" w:beforeAutospacing="0" w:after="0" w:afterAutospacing="0"/>
        <w:ind w:firstLine="709"/>
        <w:jc w:val="both"/>
        <w:rPr>
          <w:sz w:val="28"/>
          <w:szCs w:val="28"/>
          <w:lang w:val="ru-RU"/>
        </w:rPr>
      </w:pPr>
      <w:r w:rsidRPr="00A05719">
        <w:rPr>
          <w:sz w:val="28"/>
          <w:szCs w:val="28"/>
          <w:lang w:val="ru-RU"/>
        </w:rPr>
        <w:t>Законодательство Республики Беларусь, принятое в 2021 году, демонстрирует значительную степень гармонизации с современными международными стандартами, в частности, с Общим регламентом по защите данных (</w:t>
      </w:r>
      <w:r w:rsidRPr="00A05719">
        <w:rPr>
          <w:sz w:val="28"/>
          <w:szCs w:val="28"/>
        </w:rPr>
        <w:t>GDPR</w:t>
      </w:r>
      <w:r w:rsidRPr="00A05719">
        <w:rPr>
          <w:sz w:val="28"/>
          <w:szCs w:val="28"/>
          <w:lang w:val="ru-RU"/>
        </w:rPr>
        <w:t>) Европейского Союза. Это проявляется в четком определении персональных данных, установлении принципов обработки, закреплении прав субъектов персональных данных и определении обязанностей операторов.</w:t>
      </w:r>
    </w:p>
    <w:p w:rsidR="00A05719" w:rsidRPr="00A05719" w:rsidRDefault="00A05719" w:rsidP="00A05719">
      <w:pPr>
        <w:numPr>
          <w:ilvl w:val="0"/>
          <w:numId w:val="35"/>
        </w:numPr>
        <w:spacing w:after="0" w:line="240" w:lineRule="auto"/>
        <w:ind w:left="0" w:firstLine="709"/>
        <w:jc w:val="both"/>
        <w:rPr>
          <w:rFonts w:ascii="Times New Roman" w:hAnsi="Times New Roman" w:cs="Times New Roman"/>
          <w:sz w:val="28"/>
          <w:szCs w:val="28"/>
        </w:rPr>
      </w:pPr>
      <w:r w:rsidRPr="00A05719">
        <w:rPr>
          <w:rStyle w:val="a6"/>
          <w:rFonts w:ascii="Times New Roman" w:hAnsi="Times New Roman" w:cs="Times New Roman"/>
          <w:b w:val="0"/>
          <w:i/>
          <w:sz w:val="28"/>
          <w:szCs w:val="28"/>
        </w:rPr>
        <w:t>Сходство с Россией:</w:t>
      </w:r>
      <w:r w:rsidRPr="00A05719">
        <w:rPr>
          <w:rFonts w:ascii="Times New Roman" w:hAnsi="Times New Roman" w:cs="Times New Roman"/>
          <w:sz w:val="28"/>
          <w:szCs w:val="28"/>
        </w:rPr>
        <w:t xml:space="preserve"> Белорусское и российское законодательство имеют общие корни и схожие подходы к определению персональных данных и основным принципам их обработки. Оба законодательства предусматривают административную ответственность за нарушения. Однако, белорусский Закон № 98-З является более современным и учитывает последние тенденции в области защиты данных, в то время как российское законодательство, хотя и претерпело ряд изменений, может требовать дальнейшего совершенствования в части детализации некоторых аспектов.</w:t>
      </w:r>
    </w:p>
    <w:p w:rsidR="00A05719" w:rsidRPr="00A05719" w:rsidRDefault="00A05719" w:rsidP="00A05719">
      <w:pPr>
        <w:numPr>
          <w:ilvl w:val="0"/>
          <w:numId w:val="35"/>
        </w:numPr>
        <w:spacing w:after="0" w:line="240" w:lineRule="auto"/>
        <w:ind w:left="0" w:firstLine="709"/>
        <w:jc w:val="both"/>
        <w:rPr>
          <w:rFonts w:ascii="Times New Roman" w:hAnsi="Times New Roman" w:cs="Times New Roman"/>
          <w:sz w:val="28"/>
          <w:szCs w:val="28"/>
        </w:rPr>
      </w:pPr>
      <w:r w:rsidRPr="00A05719">
        <w:rPr>
          <w:rStyle w:val="a6"/>
          <w:rFonts w:ascii="Times New Roman" w:hAnsi="Times New Roman" w:cs="Times New Roman"/>
          <w:b w:val="0"/>
          <w:i/>
          <w:sz w:val="28"/>
          <w:szCs w:val="28"/>
        </w:rPr>
        <w:t>Сходство с Германией и Францией (через GDPR):</w:t>
      </w:r>
      <w:r w:rsidRPr="00A05719">
        <w:rPr>
          <w:rFonts w:ascii="Times New Roman" w:hAnsi="Times New Roman" w:cs="Times New Roman"/>
          <w:sz w:val="28"/>
          <w:szCs w:val="28"/>
        </w:rPr>
        <w:t xml:space="preserve"> Германия и Франция, будучи членами ЕС, полностью применяют GDPR. Белорусский Закон № 98-З, как и GDPR, уделяет большое внимание правам субъектов данных, принципам прозрачности и минимизации данных, а также устанавливает строгие требования к трансграничной передаче данных. Различия могут заключаться в конкретных механизмах реализации прав, процедурах уведомления о нарушениях и размерах штрафов, которые в ЕС зачастую более значительны. Также, в отличие от Беларуси, в Германии и Франции существуют более развитые и устоявшиеся институты надзорных органов с широкими полномочиями.</w:t>
      </w:r>
    </w:p>
    <w:p w:rsidR="00A05719" w:rsidRPr="00A05719" w:rsidRDefault="00A05719" w:rsidP="00A05719">
      <w:pPr>
        <w:pStyle w:val="a9"/>
        <w:spacing w:before="0" w:beforeAutospacing="0" w:after="0" w:afterAutospacing="0"/>
        <w:ind w:firstLine="709"/>
        <w:jc w:val="both"/>
        <w:rPr>
          <w:sz w:val="28"/>
          <w:szCs w:val="28"/>
          <w:lang w:val="ru-RU"/>
        </w:rPr>
      </w:pPr>
      <w:r w:rsidRPr="00A05719">
        <w:rPr>
          <w:sz w:val="28"/>
          <w:szCs w:val="28"/>
          <w:lang w:val="ru-RU"/>
        </w:rPr>
        <w:t>Несмотря на прогрессивный характер нового белорусского законодательства, к 2026 году перед Республикой Беларусь будет стоять ряд вызовов, требующих системного решения для обеспечения эффективной защиты персональных данных:</w:t>
      </w:r>
    </w:p>
    <w:p w:rsidR="00A05719" w:rsidRPr="00A05719" w:rsidRDefault="00A05719" w:rsidP="00A05719">
      <w:pPr>
        <w:pStyle w:val="a9"/>
        <w:numPr>
          <w:ilvl w:val="0"/>
          <w:numId w:val="36"/>
        </w:numPr>
        <w:spacing w:before="0" w:beforeAutospacing="0" w:after="0" w:afterAutospacing="0"/>
        <w:ind w:left="0" w:firstLine="709"/>
        <w:jc w:val="both"/>
        <w:rPr>
          <w:sz w:val="28"/>
          <w:szCs w:val="28"/>
        </w:rPr>
      </w:pPr>
      <w:r w:rsidRPr="00A05719">
        <w:rPr>
          <w:rStyle w:val="a6"/>
          <w:b w:val="0"/>
          <w:i/>
          <w:sz w:val="28"/>
          <w:szCs w:val="28"/>
          <w:lang w:val="ru-RU"/>
        </w:rPr>
        <w:t>Практическая имплементация и правоприменение:</w:t>
      </w:r>
      <w:r w:rsidRPr="00A05719">
        <w:rPr>
          <w:sz w:val="28"/>
          <w:szCs w:val="28"/>
          <w:lang w:val="ru-RU"/>
        </w:rPr>
        <w:t xml:space="preserve"> Основной задачей станет обеспечение реального, а не только декларативного применения норм Закона о защите ПД. </w:t>
      </w:r>
      <w:r w:rsidRPr="00A05719">
        <w:rPr>
          <w:sz w:val="28"/>
          <w:szCs w:val="28"/>
        </w:rPr>
        <w:t>Это включает в себя:</w:t>
      </w:r>
    </w:p>
    <w:p w:rsidR="00A05719" w:rsidRPr="00A05719" w:rsidRDefault="00A05719" w:rsidP="00A05719">
      <w:pPr>
        <w:numPr>
          <w:ilvl w:val="1"/>
          <w:numId w:val="36"/>
        </w:numPr>
        <w:spacing w:after="0" w:line="240" w:lineRule="auto"/>
        <w:ind w:left="0" w:firstLine="709"/>
        <w:jc w:val="both"/>
        <w:rPr>
          <w:rFonts w:ascii="Times New Roman" w:hAnsi="Times New Roman" w:cs="Times New Roman"/>
          <w:sz w:val="28"/>
          <w:szCs w:val="28"/>
        </w:rPr>
      </w:pPr>
      <w:r w:rsidRPr="00A05719">
        <w:rPr>
          <w:rStyle w:val="a6"/>
          <w:rFonts w:ascii="Times New Roman" w:hAnsi="Times New Roman" w:cs="Times New Roman"/>
          <w:b w:val="0"/>
          <w:i/>
          <w:sz w:val="28"/>
          <w:szCs w:val="28"/>
        </w:rPr>
        <w:t>Развитие практики применения законодательства:</w:t>
      </w:r>
      <w:r w:rsidRPr="00A05719">
        <w:rPr>
          <w:rFonts w:ascii="Times New Roman" w:hAnsi="Times New Roman" w:cs="Times New Roman"/>
          <w:b/>
          <w:i/>
          <w:sz w:val="28"/>
          <w:szCs w:val="28"/>
        </w:rPr>
        <w:t xml:space="preserve"> </w:t>
      </w:r>
      <w:r w:rsidRPr="00A05719">
        <w:rPr>
          <w:rFonts w:ascii="Times New Roman" w:hAnsi="Times New Roman" w:cs="Times New Roman"/>
          <w:sz w:val="28"/>
          <w:szCs w:val="28"/>
        </w:rPr>
        <w:t>Формирование единообразной судебной и административной практики по вопросам защиты персональных данных.</w:t>
      </w:r>
    </w:p>
    <w:p w:rsidR="00A05719" w:rsidRPr="00A05719" w:rsidRDefault="00A05719" w:rsidP="00A05719">
      <w:pPr>
        <w:numPr>
          <w:ilvl w:val="1"/>
          <w:numId w:val="36"/>
        </w:numPr>
        <w:spacing w:after="0" w:line="240" w:lineRule="auto"/>
        <w:ind w:left="0" w:firstLine="709"/>
        <w:jc w:val="both"/>
        <w:rPr>
          <w:rFonts w:ascii="Times New Roman" w:hAnsi="Times New Roman" w:cs="Times New Roman"/>
          <w:sz w:val="28"/>
          <w:szCs w:val="28"/>
        </w:rPr>
      </w:pPr>
      <w:r w:rsidRPr="00A05719">
        <w:rPr>
          <w:rStyle w:val="a6"/>
          <w:rFonts w:ascii="Times New Roman" w:hAnsi="Times New Roman" w:cs="Times New Roman"/>
          <w:b w:val="0"/>
          <w:i/>
          <w:sz w:val="28"/>
          <w:szCs w:val="28"/>
        </w:rPr>
        <w:t>Эффективность надзорного органа:</w:t>
      </w:r>
      <w:r w:rsidRPr="00A05719">
        <w:rPr>
          <w:rFonts w:ascii="Times New Roman" w:hAnsi="Times New Roman" w:cs="Times New Roman"/>
          <w:sz w:val="28"/>
          <w:szCs w:val="28"/>
        </w:rPr>
        <w:t xml:space="preserve"> Создание и обеспечение полноценного функционирования Национальной комиссии по защите персональных данных, наделение ее достаточными ресурсами и </w:t>
      </w:r>
      <w:r w:rsidRPr="00A05719">
        <w:rPr>
          <w:rFonts w:ascii="Times New Roman" w:hAnsi="Times New Roman" w:cs="Times New Roman"/>
          <w:sz w:val="28"/>
          <w:szCs w:val="28"/>
        </w:rPr>
        <w:lastRenderedPageBreak/>
        <w:t>полномочиями для проведения проверок, расследований и применения санкций.</w:t>
      </w:r>
    </w:p>
    <w:p w:rsidR="00A05719" w:rsidRPr="00A05719" w:rsidRDefault="00A05719" w:rsidP="00A05719">
      <w:pPr>
        <w:numPr>
          <w:ilvl w:val="1"/>
          <w:numId w:val="36"/>
        </w:numPr>
        <w:spacing w:after="0" w:line="240" w:lineRule="auto"/>
        <w:ind w:left="0" w:firstLine="709"/>
        <w:jc w:val="both"/>
        <w:rPr>
          <w:rFonts w:ascii="Times New Roman" w:hAnsi="Times New Roman" w:cs="Times New Roman"/>
          <w:sz w:val="28"/>
          <w:szCs w:val="28"/>
        </w:rPr>
      </w:pPr>
      <w:r w:rsidRPr="00A05719">
        <w:rPr>
          <w:rStyle w:val="a6"/>
          <w:rFonts w:ascii="Times New Roman" w:hAnsi="Times New Roman" w:cs="Times New Roman"/>
          <w:b w:val="0"/>
          <w:i/>
          <w:sz w:val="28"/>
          <w:szCs w:val="28"/>
        </w:rPr>
        <w:t>Повышение осведомленности:</w:t>
      </w:r>
      <w:r w:rsidRPr="00A05719">
        <w:rPr>
          <w:rFonts w:ascii="Times New Roman" w:hAnsi="Times New Roman" w:cs="Times New Roman"/>
          <w:sz w:val="28"/>
          <w:szCs w:val="28"/>
        </w:rPr>
        <w:t xml:space="preserve"> Проведение масштабных информационных кампаний для граждан и бизнеса о правах и обязанностях в сфере защиты персональных данных.</w:t>
      </w:r>
    </w:p>
    <w:p w:rsidR="00A05719" w:rsidRPr="00A05719" w:rsidRDefault="00A05719" w:rsidP="00A05719">
      <w:pPr>
        <w:pStyle w:val="a9"/>
        <w:numPr>
          <w:ilvl w:val="0"/>
          <w:numId w:val="36"/>
        </w:numPr>
        <w:spacing w:before="0" w:beforeAutospacing="0" w:after="0" w:afterAutospacing="0"/>
        <w:ind w:left="0" w:firstLine="709"/>
        <w:jc w:val="both"/>
        <w:rPr>
          <w:sz w:val="28"/>
          <w:szCs w:val="28"/>
        </w:rPr>
      </w:pPr>
      <w:r w:rsidRPr="00A05719">
        <w:rPr>
          <w:rStyle w:val="a6"/>
          <w:b w:val="0"/>
          <w:i/>
          <w:sz w:val="28"/>
          <w:szCs w:val="28"/>
          <w:lang w:val="ru-RU"/>
        </w:rPr>
        <w:t>Технологическое развитие и кибербезопасность:</w:t>
      </w:r>
      <w:r w:rsidRPr="00A05719">
        <w:rPr>
          <w:sz w:val="28"/>
          <w:szCs w:val="28"/>
          <w:lang w:val="ru-RU"/>
        </w:rPr>
        <w:t xml:space="preserve"> Быстрое развитие технологий (искусственный интеллект, большие данные, Интернет вещей) создает новые риски для конфиденциальности. </w:t>
      </w:r>
      <w:r w:rsidRPr="00A05719">
        <w:rPr>
          <w:sz w:val="28"/>
          <w:szCs w:val="28"/>
        </w:rPr>
        <w:t>Необходимо:</w:t>
      </w:r>
    </w:p>
    <w:p w:rsidR="00A05719" w:rsidRPr="00A05719" w:rsidRDefault="00A05719" w:rsidP="00A05719">
      <w:pPr>
        <w:numPr>
          <w:ilvl w:val="1"/>
          <w:numId w:val="36"/>
        </w:numPr>
        <w:spacing w:after="0" w:line="240" w:lineRule="auto"/>
        <w:ind w:left="0" w:firstLine="709"/>
        <w:jc w:val="both"/>
        <w:rPr>
          <w:rFonts w:ascii="Times New Roman" w:hAnsi="Times New Roman" w:cs="Times New Roman"/>
          <w:sz w:val="28"/>
          <w:szCs w:val="28"/>
        </w:rPr>
      </w:pPr>
      <w:r w:rsidRPr="00A05719">
        <w:rPr>
          <w:rStyle w:val="a6"/>
          <w:rFonts w:ascii="Times New Roman" w:hAnsi="Times New Roman" w:cs="Times New Roman"/>
          <w:b w:val="0"/>
          <w:i/>
          <w:sz w:val="28"/>
          <w:szCs w:val="28"/>
        </w:rPr>
        <w:t>Адаптация законодательства к новым технологиям:</w:t>
      </w:r>
      <w:r w:rsidRPr="00A05719">
        <w:rPr>
          <w:rFonts w:ascii="Times New Roman" w:hAnsi="Times New Roman" w:cs="Times New Roman"/>
          <w:b/>
          <w:i/>
          <w:sz w:val="28"/>
          <w:szCs w:val="28"/>
        </w:rPr>
        <w:t xml:space="preserve"> </w:t>
      </w:r>
      <w:r w:rsidRPr="00A05719">
        <w:rPr>
          <w:rFonts w:ascii="Times New Roman" w:hAnsi="Times New Roman" w:cs="Times New Roman"/>
          <w:sz w:val="28"/>
          <w:szCs w:val="28"/>
        </w:rPr>
        <w:t>Регулярный пересмотр и обновление законодательства с учетом появления новых способов сбора, обработки и использования персональных данных.</w:t>
      </w:r>
    </w:p>
    <w:p w:rsidR="00A05719" w:rsidRPr="00A05719" w:rsidRDefault="00A05719" w:rsidP="00A05719">
      <w:pPr>
        <w:numPr>
          <w:ilvl w:val="1"/>
          <w:numId w:val="36"/>
        </w:numPr>
        <w:spacing w:after="0" w:line="240" w:lineRule="auto"/>
        <w:ind w:left="0" w:firstLine="709"/>
        <w:jc w:val="both"/>
        <w:rPr>
          <w:rFonts w:ascii="Times New Roman" w:hAnsi="Times New Roman" w:cs="Times New Roman"/>
          <w:sz w:val="28"/>
          <w:szCs w:val="28"/>
        </w:rPr>
      </w:pPr>
      <w:r w:rsidRPr="00A05719">
        <w:rPr>
          <w:rStyle w:val="a6"/>
          <w:rFonts w:ascii="Times New Roman" w:hAnsi="Times New Roman" w:cs="Times New Roman"/>
          <w:b w:val="0"/>
          <w:i/>
          <w:sz w:val="28"/>
          <w:szCs w:val="28"/>
        </w:rPr>
        <w:t>Усиление мер кибербезопасности:</w:t>
      </w:r>
      <w:r w:rsidRPr="00A05719">
        <w:rPr>
          <w:rFonts w:ascii="Times New Roman" w:hAnsi="Times New Roman" w:cs="Times New Roman"/>
          <w:sz w:val="28"/>
          <w:szCs w:val="28"/>
        </w:rPr>
        <w:t xml:space="preserve"> Требование к операторам внедрения современных технических мер защиты данных, включая шифрование, анонимизацию, псевдонимизацию, а также регулярное проведение аудитов безопасности.</w:t>
      </w:r>
    </w:p>
    <w:p w:rsidR="00A05719" w:rsidRPr="00A05719" w:rsidRDefault="00A05719" w:rsidP="00A05719">
      <w:pPr>
        <w:numPr>
          <w:ilvl w:val="1"/>
          <w:numId w:val="36"/>
        </w:numPr>
        <w:spacing w:after="0" w:line="240" w:lineRule="auto"/>
        <w:ind w:left="0" w:firstLine="709"/>
        <w:jc w:val="both"/>
        <w:rPr>
          <w:rFonts w:ascii="Times New Roman" w:hAnsi="Times New Roman" w:cs="Times New Roman"/>
          <w:sz w:val="28"/>
          <w:szCs w:val="28"/>
        </w:rPr>
      </w:pPr>
      <w:r w:rsidRPr="00A05719">
        <w:rPr>
          <w:rStyle w:val="a6"/>
          <w:rFonts w:ascii="Times New Roman" w:hAnsi="Times New Roman" w:cs="Times New Roman"/>
          <w:b w:val="0"/>
          <w:i/>
          <w:sz w:val="28"/>
          <w:szCs w:val="28"/>
        </w:rPr>
        <w:t>Борьба с утечками данных:</w:t>
      </w:r>
      <w:r w:rsidRPr="00A05719">
        <w:rPr>
          <w:rFonts w:ascii="Times New Roman" w:hAnsi="Times New Roman" w:cs="Times New Roman"/>
          <w:sz w:val="28"/>
          <w:szCs w:val="28"/>
        </w:rPr>
        <w:t xml:space="preserve"> Разработка эффективных механизмов реагирования на инциденты, связанные с утечками персональных данных, включая обязательное уведомление субъектов данных и надзорных органов.</w:t>
      </w:r>
    </w:p>
    <w:p w:rsidR="00A05719" w:rsidRPr="00A05719" w:rsidRDefault="00A05719" w:rsidP="00A05719">
      <w:pPr>
        <w:pStyle w:val="a9"/>
        <w:numPr>
          <w:ilvl w:val="0"/>
          <w:numId w:val="36"/>
        </w:numPr>
        <w:spacing w:before="0" w:beforeAutospacing="0" w:after="0" w:afterAutospacing="0"/>
        <w:ind w:left="0" w:firstLine="709"/>
        <w:jc w:val="both"/>
        <w:rPr>
          <w:sz w:val="28"/>
          <w:szCs w:val="28"/>
        </w:rPr>
      </w:pPr>
      <w:r w:rsidRPr="00A05719">
        <w:rPr>
          <w:rStyle w:val="a6"/>
          <w:b w:val="0"/>
          <w:i/>
          <w:sz w:val="28"/>
          <w:szCs w:val="28"/>
          <w:lang w:val="ru-RU"/>
        </w:rPr>
        <w:t>Трансграничная передача данных:</w:t>
      </w:r>
      <w:r w:rsidRPr="00A05719">
        <w:rPr>
          <w:sz w:val="28"/>
          <w:szCs w:val="28"/>
          <w:lang w:val="ru-RU"/>
        </w:rPr>
        <w:t xml:space="preserve"> В условиях глобализации экономики и цифровизации, трансграничная передача данных становится обыденностью. </w:t>
      </w:r>
      <w:r w:rsidRPr="00A05719">
        <w:rPr>
          <w:sz w:val="28"/>
          <w:szCs w:val="28"/>
        </w:rPr>
        <w:t>Необходимо:</w:t>
      </w:r>
    </w:p>
    <w:p w:rsidR="00A05719" w:rsidRPr="00A05719" w:rsidRDefault="00A05719" w:rsidP="00A05719">
      <w:pPr>
        <w:numPr>
          <w:ilvl w:val="1"/>
          <w:numId w:val="36"/>
        </w:numPr>
        <w:spacing w:after="0" w:line="240" w:lineRule="auto"/>
        <w:ind w:left="0" w:firstLine="709"/>
        <w:jc w:val="both"/>
        <w:rPr>
          <w:rFonts w:ascii="Times New Roman" w:hAnsi="Times New Roman" w:cs="Times New Roman"/>
          <w:sz w:val="28"/>
          <w:szCs w:val="28"/>
        </w:rPr>
      </w:pPr>
      <w:r w:rsidRPr="00A05719">
        <w:rPr>
          <w:rStyle w:val="a6"/>
          <w:rFonts w:ascii="Times New Roman" w:hAnsi="Times New Roman" w:cs="Times New Roman"/>
          <w:b w:val="0"/>
          <w:i/>
          <w:sz w:val="28"/>
          <w:szCs w:val="28"/>
        </w:rPr>
        <w:t>Развитие договорной базы:</w:t>
      </w:r>
      <w:r w:rsidRPr="00A05719">
        <w:rPr>
          <w:rFonts w:ascii="Times New Roman" w:hAnsi="Times New Roman" w:cs="Times New Roman"/>
          <w:sz w:val="28"/>
          <w:szCs w:val="28"/>
        </w:rPr>
        <w:t xml:space="preserve"> Стимулирование использования стандартных договорных положений и обязательных корпоративных правил для обеспечения законности трансграничной передачи.</w:t>
      </w:r>
    </w:p>
    <w:p w:rsidR="00A05719" w:rsidRPr="00A05719" w:rsidRDefault="00A05719" w:rsidP="00A05719">
      <w:pPr>
        <w:pStyle w:val="a9"/>
        <w:spacing w:before="0" w:beforeAutospacing="0" w:after="0" w:afterAutospacing="0"/>
        <w:ind w:firstLine="709"/>
        <w:jc w:val="both"/>
        <w:rPr>
          <w:sz w:val="28"/>
          <w:szCs w:val="28"/>
          <w:lang w:val="ru-RU"/>
        </w:rPr>
      </w:pPr>
      <w:r w:rsidRPr="00A05719">
        <w:rPr>
          <w:sz w:val="28"/>
          <w:szCs w:val="28"/>
          <w:lang w:val="ru-RU"/>
        </w:rPr>
        <w:t>В 2026 году Республика Беларусь будет обладать современным законодательством в сфере защиты персональных данных, которое во многом соответствует международным стандартам. Однако, успешность его применения будет зависеть от эффективной имплементации, развития правоприменительной практики, адаптации к технологическим вызовам и активного международного сотрудничества. Решение обозначенных проблем позволит не только обеспечить безопасность личной информации граждан, но и укрепить доверие к белорусским цифровым сервисам и экономике в целом, способствуя ее дальнейшему развитию в условиях глобальной цифровой трансформации. Постоянное совершенствование законодательства и практических мер защиты персональных данных является залогом устойчивого развития и обеспечения прав и свобод каждого человека в цифровом обществе.</w:t>
      </w:r>
    </w:p>
    <w:p w:rsidR="00A05719" w:rsidRPr="00A05719" w:rsidRDefault="00A05719" w:rsidP="00A05719">
      <w:pPr>
        <w:pStyle w:val="a9"/>
        <w:spacing w:before="0" w:beforeAutospacing="0" w:after="0" w:afterAutospacing="0"/>
        <w:ind w:firstLine="709"/>
        <w:jc w:val="both"/>
        <w:rPr>
          <w:sz w:val="28"/>
          <w:szCs w:val="28"/>
          <w:lang w:val="ru-RU"/>
        </w:rPr>
      </w:pPr>
      <w:r w:rsidRPr="00A05719">
        <w:rPr>
          <w:sz w:val="28"/>
          <w:szCs w:val="28"/>
          <w:lang w:val="ru-RU"/>
        </w:rPr>
        <w:t xml:space="preserve">Республика Беларусь продолжает стремиться к гармонизации своего законодательства с международными стандартами, в первую очередь с </w:t>
      </w:r>
      <w:r w:rsidRPr="00A05719">
        <w:rPr>
          <w:sz w:val="28"/>
          <w:szCs w:val="28"/>
        </w:rPr>
        <w:t>GDPR</w:t>
      </w:r>
      <w:r w:rsidRPr="00A05719">
        <w:rPr>
          <w:sz w:val="28"/>
          <w:szCs w:val="28"/>
          <w:lang w:val="ru-RU"/>
        </w:rPr>
        <w:t xml:space="preserve">. Это обусловлено не только стремлением к обеспечению высокого уровня защиты прав граждан, но и необходимостью облегчения </w:t>
      </w:r>
      <w:r w:rsidRPr="00A05719">
        <w:rPr>
          <w:sz w:val="28"/>
          <w:szCs w:val="28"/>
          <w:lang w:val="ru-RU"/>
        </w:rPr>
        <w:lastRenderedPageBreak/>
        <w:t>трансграничного движения данных и привлечения иностранных инвестиций.</w:t>
      </w:r>
    </w:p>
    <w:p w:rsidR="00A05719" w:rsidRPr="00A05719" w:rsidRDefault="00A05719" w:rsidP="00A05719">
      <w:pPr>
        <w:pStyle w:val="a9"/>
        <w:spacing w:before="0" w:beforeAutospacing="0" w:after="0" w:afterAutospacing="0"/>
        <w:ind w:firstLine="709"/>
        <w:jc w:val="both"/>
        <w:rPr>
          <w:sz w:val="28"/>
          <w:szCs w:val="28"/>
          <w:lang w:val="ru-RU"/>
        </w:rPr>
      </w:pPr>
      <w:r w:rsidRPr="00A05719">
        <w:rPr>
          <w:sz w:val="28"/>
          <w:szCs w:val="28"/>
          <w:lang w:val="ru-RU"/>
        </w:rPr>
        <w:t xml:space="preserve">Международное сотрудничество будет играть все более важную роль в обеспечении эффективной защиты персональных данных. </w:t>
      </w:r>
    </w:p>
    <w:p w:rsidR="00A05719" w:rsidRPr="00A05719" w:rsidRDefault="00A05719" w:rsidP="00A05719">
      <w:pPr>
        <w:spacing w:after="0" w:line="240" w:lineRule="auto"/>
        <w:jc w:val="both"/>
        <w:rPr>
          <w:rFonts w:ascii="Times New Roman" w:hAnsi="Times New Roman" w:cs="Times New Roman"/>
          <w:sz w:val="28"/>
          <w:szCs w:val="28"/>
        </w:rPr>
      </w:pPr>
    </w:p>
    <w:p w:rsidR="00A05719" w:rsidRPr="006A0820" w:rsidRDefault="00A05719" w:rsidP="00A05719">
      <w:pPr>
        <w:widowControl w:val="0"/>
        <w:spacing w:after="0" w:line="240" w:lineRule="auto"/>
        <w:ind w:firstLine="709"/>
        <w:jc w:val="center"/>
        <w:rPr>
          <w:rFonts w:ascii="Times New Roman" w:eastAsia="Times New Roman" w:hAnsi="Times New Roman" w:cs="Times New Roman"/>
          <w:b/>
          <w:bCs/>
          <w:iCs/>
          <w:sz w:val="28"/>
          <w:szCs w:val="28"/>
          <w:lang w:val="en-US"/>
        </w:rPr>
      </w:pPr>
      <w:r w:rsidRPr="006A0820">
        <w:rPr>
          <w:rFonts w:ascii="Times New Roman" w:eastAsia="Times New Roman" w:hAnsi="Times New Roman" w:cs="Times New Roman"/>
          <w:b/>
          <w:bCs/>
          <w:sz w:val="28"/>
          <w:szCs w:val="28"/>
        </w:rPr>
        <w:t>Список</w:t>
      </w:r>
      <w:r w:rsidRPr="006A0820">
        <w:rPr>
          <w:rFonts w:ascii="Times New Roman" w:eastAsia="Times New Roman" w:hAnsi="Times New Roman" w:cs="Times New Roman"/>
          <w:b/>
          <w:bCs/>
          <w:sz w:val="28"/>
          <w:szCs w:val="28"/>
          <w:lang w:val="en-US"/>
        </w:rPr>
        <w:t xml:space="preserve"> </w:t>
      </w:r>
      <w:r w:rsidRPr="006A0820">
        <w:rPr>
          <w:rFonts w:ascii="Times New Roman" w:eastAsia="Times New Roman" w:hAnsi="Times New Roman" w:cs="Times New Roman"/>
          <w:b/>
          <w:bCs/>
          <w:sz w:val="28"/>
          <w:szCs w:val="28"/>
        </w:rPr>
        <w:t>литературы</w:t>
      </w:r>
    </w:p>
    <w:p w:rsidR="00A05719" w:rsidRPr="00A05719" w:rsidRDefault="00A05719" w:rsidP="00A05719">
      <w:pPr>
        <w:pStyle w:val="a7"/>
        <w:numPr>
          <w:ilvl w:val="0"/>
          <w:numId w:val="37"/>
        </w:numPr>
        <w:spacing w:after="180" w:line="240" w:lineRule="auto"/>
        <w:ind w:left="0" w:firstLine="426"/>
        <w:jc w:val="both"/>
        <w:rPr>
          <w:rFonts w:ascii="Times New Roman" w:hAnsi="Times New Roman" w:cs="Times New Roman"/>
          <w:sz w:val="24"/>
          <w:szCs w:val="24"/>
          <w:lang w:val="en-US"/>
        </w:rPr>
      </w:pPr>
      <w:r w:rsidRPr="00A05719">
        <w:rPr>
          <w:rFonts w:ascii="Times New Roman" w:hAnsi="Times New Roman" w:cs="Times New Roman"/>
          <w:sz w:val="24"/>
          <w:szCs w:val="24"/>
          <w:lang w:val="en-US"/>
        </w:rPr>
        <w:t>Sarabdeen, J., Ishak, M. M. M. A comparative analysis: health data protection laws in Malaysia, Saudi Arabia and EU General Data Protection Regulation (GDPR) / J. Sarabdeen, M. M. M. Ishak // International Journal of Law and Management. — 2025. — № 1(67). — P. 99-119.</w:t>
      </w:r>
    </w:p>
    <w:p w:rsidR="00A05719" w:rsidRDefault="00A05719" w:rsidP="00A05719">
      <w:pPr>
        <w:pStyle w:val="a7"/>
        <w:widowControl w:val="0"/>
        <w:numPr>
          <w:ilvl w:val="0"/>
          <w:numId w:val="37"/>
        </w:numPr>
        <w:spacing w:after="0" w:line="240" w:lineRule="auto"/>
        <w:ind w:left="0" w:firstLine="709"/>
        <w:jc w:val="both"/>
        <w:rPr>
          <w:rFonts w:ascii="Times New Roman" w:hAnsi="Times New Roman" w:cs="Times New Roman"/>
          <w:sz w:val="24"/>
          <w:szCs w:val="24"/>
        </w:rPr>
      </w:pPr>
      <w:r w:rsidRPr="00A05719">
        <w:rPr>
          <w:rFonts w:ascii="Times New Roman" w:hAnsi="Times New Roman" w:cs="Times New Roman"/>
          <w:sz w:val="24"/>
          <w:szCs w:val="24"/>
        </w:rPr>
        <w:t xml:space="preserve">Конституция Республики Беларусь 1994 года [Электронный ресурс]: с изм. и доп., принятыми на респ. референдумах 24 нояб. 1996 г., 17 окт. 2004 г. и 27 фев. 2022 г. // ЭТАЛОН. Законодательство Республики Беларусь / Нац. центр правовой информ. Респ. Беларусь. – Минск, 2026. </w:t>
      </w:r>
    </w:p>
    <w:p w:rsidR="003E77D8" w:rsidRPr="00A05719" w:rsidRDefault="00A05719" w:rsidP="00A05719">
      <w:pPr>
        <w:pStyle w:val="a7"/>
        <w:widowControl w:val="0"/>
        <w:numPr>
          <w:ilvl w:val="0"/>
          <w:numId w:val="37"/>
        </w:numPr>
        <w:spacing w:after="0" w:line="240" w:lineRule="auto"/>
        <w:ind w:left="0" w:firstLine="709"/>
        <w:jc w:val="both"/>
        <w:rPr>
          <w:rFonts w:ascii="Times New Roman" w:hAnsi="Times New Roman" w:cs="Times New Roman"/>
          <w:sz w:val="24"/>
          <w:szCs w:val="24"/>
        </w:rPr>
      </w:pPr>
      <w:r w:rsidRPr="00A05719">
        <w:rPr>
          <w:rFonts w:ascii="Times New Roman" w:hAnsi="Times New Roman" w:cs="Times New Roman"/>
          <w:sz w:val="24"/>
          <w:szCs w:val="24"/>
        </w:rPr>
        <w:t>О защите персональных данных [Электронный ресурс]: Закон Республики Беларусь от 7 мая 2021 г ЭТАЛОН. Законодательство Республики Беларусь / Нац. центр правовой информ. Респ. Беларусь. – Минск, 2026.</w:t>
      </w:r>
    </w:p>
    <w:p w:rsidR="00A05719" w:rsidRPr="00A05719" w:rsidRDefault="00A05719">
      <w:pPr>
        <w:rPr>
          <w:rFonts w:ascii="Times New Roman" w:eastAsia="Times New Roman" w:hAnsi="Times New Roman" w:cs="Times New Roman"/>
          <w:b/>
          <w:bCs/>
          <w:sz w:val="24"/>
          <w:szCs w:val="24"/>
        </w:rPr>
      </w:pPr>
    </w:p>
    <w:p w:rsidR="003E77D8" w:rsidRPr="00B644BF" w:rsidRDefault="003E77D8" w:rsidP="00A05719">
      <w:pPr>
        <w:shd w:val="clear" w:color="auto" w:fill="FFFFFF"/>
        <w:spacing w:after="0" w:line="240" w:lineRule="auto"/>
        <w:ind w:firstLine="709"/>
        <w:jc w:val="center"/>
        <w:outlineLvl w:val="2"/>
        <w:rPr>
          <w:rFonts w:ascii="Times New Roman" w:eastAsia="Times New Roman" w:hAnsi="Times New Roman" w:cs="Times New Roman"/>
          <w:b/>
          <w:bCs/>
          <w:sz w:val="28"/>
          <w:szCs w:val="28"/>
        </w:rPr>
      </w:pPr>
      <w:r w:rsidRPr="00B644BF">
        <w:rPr>
          <w:rFonts w:ascii="Times New Roman" w:eastAsia="Times New Roman" w:hAnsi="Times New Roman" w:cs="Times New Roman"/>
          <w:b/>
          <w:bCs/>
          <w:sz w:val="28"/>
          <w:szCs w:val="28"/>
        </w:rPr>
        <w:t>ПРАВОВАЯ ПРИРОДА ПРАВА АВТОРА НА ИМЯ</w:t>
      </w:r>
    </w:p>
    <w:p w:rsidR="003E77D8" w:rsidRPr="00B644BF" w:rsidRDefault="003E77D8" w:rsidP="00A05719">
      <w:pPr>
        <w:spacing w:after="0" w:line="240" w:lineRule="auto"/>
        <w:ind w:firstLine="709"/>
        <w:jc w:val="center"/>
        <w:rPr>
          <w:rFonts w:ascii="Times New Roman" w:hAnsi="Times New Roman" w:cs="Times New Roman"/>
          <w:b/>
          <w:sz w:val="28"/>
          <w:szCs w:val="28"/>
        </w:rPr>
      </w:pPr>
    </w:p>
    <w:p w:rsidR="003E77D8" w:rsidRPr="00B644BF" w:rsidRDefault="003E77D8" w:rsidP="00A05719">
      <w:pPr>
        <w:spacing w:after="0" w:line="240" w:lineRule="auto"/>
        <w:ind w:firstLine="709"/>
        <w:jc w:val="center"/>
        <w:rPr>
          <w:rFonts w:ascii="Times New Roman" w:hAnsi="Times New Roman" w:cs="Times New Roman"/>
          <w:b/>
          <w:sz w:val="28"/>
          <w:szCs w:val="28"/>
        </w:rPr>
      </w:pPr>
      <w:r w:rsidRPr="00B644BF">
        <w:rPr>
          <w:rFonts w:ascii="Times New Roman" w:hAnsi="Times New Roman" w:cs="Times New Roman"/>
          <w:b/>
          <w:sz w:val="28"/>
          <w:szCs w:val="28"/>
        </w:rPr>
        <w:t>Зайцева Светлана Валерьевна</w:t>
      </w:r>
    </w:p>
    <w:p w:rsidR="003E77D8" w:rsidRPr="00B644BF" w:rsidRDefault="003E77D8" w:rsidP="00A05719">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старший преподаватель кафедры юриспруденции</w:t>
      </w:r>
    </w:p>
    <w:p w:rsidR="003E77D8" w:rsidRPr="00B644BF" w:rsidRDefault="003E77D8" w:rsidP="00A05719">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 xml:space="preserve">учреждения образования «Могилевский государственный </w:t>
      </w:r>
      <w:r w:rsidR="00A05719">
        <w:rPr>
          <w:rFonts w:ascii="Times New Roman" w:hAnsi="Times New Roman" w:cs="Times New Roman"/>
          <w:sz w:val="28"/>
          <w:szCs w:val="28"/>
        </w:rPr>
        <w:t>у</w:t>
      </w:r>
      <w:r w:rsidRPr="00B644BF">
        <w:rPr>
          <w:rFonts w:ascii="Times New Roman" w:hAnsi="Times New Roman" w:cs="Times New Roman"/>
          <w:sz w:val="28"/>
          <w:szCs w:val="28"/>
        </w:rPr>
        <w:t>ниверситет имени А.А. Кулешова</w:t>
      </w:r>
    </w:p>
    <w:p w:rsidR="003E77D8" w:rsidRPr="00B644BF" w:rsidRDefault="003E77D8" w:rsidP="00A05719">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(г. Могилев, Беларусь)</w:t>
      </w:r>
    </w:p>
    <w:p w:rsidR="003E77D8" w:rsidRPr="00B644BF" w:rsidRDefault="003E77D8" w:rsidP="00A05719">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svetlana-z.09@mail.ru</w:t>
      </w:r>
    </w:p>
    <w:p w:rsidR="003E77D8" w:rsidRPr="00B644BF" w:rsidRDefault="003E77D8" w:rsidP="00A05719">
      <w:pPr>
        <w:shd w:val="clear" w:color="auto" w:fill="FFFFFF"/>
        <w:spacing w:after="0" w:line="240" w:lineRule="auto"/>
        <w:ind w:firstLine="709"/>
        <w:jc w:val="both"/>
        <w:outlineLvl w:val="2"/>
        <w:rPr>
          <w:rFonts w:ascii="Times New Roman" w:eastAsia="Times New Roman" w:hAnsi="Times New Roman" w:cs="Times New Roman"/>
          <w:b/>
          <w:bCs/>
          <w:sz w:val="24"/>
          <w:szCs w:val="24"/>
        </w:rPr>
      </w:pPr>
    </w:p>
    <w:p w:rsidR="003E77D8" w:rsidRPr="00B644BF" w:rsidRDefault="003E77D8" w:rsidP="00A05719">
      <w:pPr>
        <w:spacing w:after="0" w:line="240" w:lineRule="auto"/>
        <w:ind w:firstLine="709"/>
        <w:jc w:val="both"/>
        <w:rPr>
          <w:rFonts w:ascii="Times New Roman" w:eastAsia="Times New Roman" w:hAnsi="Times New Roman" w:cs="Times New Roman"/>
          <w:sz w:val="24"/>
          <w:szCs w:val="24"/>
        </w:rPr>
      </w:pPr>
      <w:r w:rsidRPr="00B644BF">
        <w:rPr>
          <w:rFonts w:ascii="Times New Roman" w:eastAsia="Times New Roman" w:hAnsi="Times New Roman" w:cs="Times New Roman"/>
          <w:b/>
          <w:bCs/>
          <w:sz w:val="24"/>
          <w:szCs w:val="24"/>
        </w:rPr>
        <w:t>Аннотация</w:t>
      </w:r>
      <w:r w:rsidRPr="00B644BF">
        <w:rPr>
          <w:rFonts w:ascii="Times New Roman" w:eastAsia="Times New Roman" w:hAnsi="Times New Roman" w:cs="Times New Roman"/>
          <w:sz w:val="24"/>
          <w:szCs w:val="24"/>
        </w:rPr>
        <w:t xml:space="preserve">. </w:t>
      </w:r>
      <w:r w:rsidRPr="00B644BF">
        <w:rPr>
          <w:rFonts w:ascii="Times New Roman" w:hAnsi="Times New Roman" w:cs="Times New Roman"/>
          <w:sz w:val="24"/>
          <w:szCs w:val="24"/>
        </w:rPr>
        <w:t xml:space="preserve">В статье исследуется юридическая сущность права автора на имя как одного </w:t>
      </w:r>
      <w:r w:rsidRPr="00B644BF">
        <w:rPr>
          <w:rFonts w:ascii="Times New Roman" w:eastAsia="Times New Roman" w:hAnsi="Times New Roman" w:cs="Times New Roman"/>
          <w:sz w:val="24"/>
          <w:szCs w:val="24"/>
        </w:rPr>
        <w:t>из ключевых личных неимущественных прав, соотношение с имущественными правами и особенности реализации в творческой деятельности. Рассматриваются механизмы охраны права на имя от незаконного использования.</w:t>
      </w:r>
    </w:p>
    <w:p w:rsidR="003E77D8" w:rsidRPr="00B644BF" w:rsidRDefault="003E77D8" w:rsidP="00A05719">
      <w:pPr>
        <w:shd w:val="clear" w:color="auto" w:fill="FFFFFF"/>
        <w:spacing w:after="0" w:line="240" w:lineRule="auto"/>
        <w:ind w:firstLine="709"/>
        <w:jc w:val="both"/>
        <w:outlineLvl w:val="2"/>
        <w:rPr>
          <w:rFonts w:ascii="Times New Roman" w:eastAsia="Times New Roman" w:hAnsi="Times New Roman" w:cs="Times New Roman"/>
          <w:sz w:val="24"/>
          <w:szCs w:val="24"/>
        </w:rPr>
      </w:pPr>
      <w:r w:rsidRPr="00B644BF">
        <w:rPr>
          <w:rFonts w:ascii="Times New Roman" w:eastAsia="Times New Roman" w:hAnsi="Times New Roman" w:cs="Times New Roman"/>
          <w:b/>
          <w:bCs/>
          <w:sz w:val="24"/>
          <w:szCs w:val="24"/>
        </w:rPr>
        <w:t>Ключевые слова.</w:t>
      </w:r>
      <w:r w:rsidRPr="00B644BF">
        <w:rPr>
          <w:rFonts w:ascii="Times New Roman" w:eastAsia="Times New Roman" w:hAnsi="Times New Roman" w:cs="Times New Roman"/>
          <w:sz w:val="24"/>
          <w:szCs w:val="24"/>
        </w:rPr>
        <w:t xml:space="preserve"> Право на имя, защита права, личные неимущественные права, профилактические меры</w:t>
      </w:r>
      <w:r w:rsidR="00A05719">
        <w:rPr>
          <w:rFonts w:ascii="Times New Roman" w:eastAsia="Times New Roman" w:hAnsi="Times New Roman" w:cs="Times New Roman"/>
          <w:sz w:val="24"/>
          <w:szCs w:val="24"/>
        </w:rPr>
        <w:t>.</w:t>
      </w:r>
    </w:p>
    <w:p w:rsidR="003E77D8" w:rsidRPr="00B644BF" w:rsidRDefault="003E77D8" w:rsidP="00A05719">
      <w:pPr>
        <w:shd w:val="clear" w:color="auto" w:fill="FFFFFF"/>
        <w:spacing w:after="0" w:line="240" w:lineRule="auto"/>
        <w:ind w:firstLine="709"/>
        <w:jc w:val="both"/>
        <w:outlineLvl w:val="2"/>
        <w:rPr>
          <w:rFonts w:ascii="Times New Roman" w:eastAsia="Times New Roman" w:hAnsi="Times New Roman" w:cs="Times New Roman"/>
          <w:b/>
          <w:bCs/>
          <w:sz w:val="28"/>
          <w:szCs w:val="28"/>
        </w:rPr>
      </w:pPr>
    </w:p>
    <w:p w:rsidR="003E77D8" w:rsidRPr="00B644BF" w:rsidRDefault="003E77D8" w:rsidP="00A05719">
      <w:pPr>
        <w:shd w:val="clear" w:color="auto" w:fill="FFFFFF"/>
        <w:spacing w:after="0" w:line="240" w:lineRule="auto"/>
        <w:ind w:firstLine="709"/>
        <w:jc w:val="both"/>
        <w:outlineLvl w:val="2"/>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rPr>
        <w:t xml:space="preserve">В системе интеллектуальной собственности право на имя, занимает фундаментальное положение. Право на имя – это неотъемлемое личное неимущественное право человека, закрепленное законодательством. </w:t>
      </w:r>
      <w:r w:rsidRPr="00B644BF">
        <w:rPr>
          <w:rFonts w:ascii="Times New Roman" w:eastAsia="Times New Roman" w:hAnsi="Times New Roman" w:cs="Times New Roman"/>
          <w:bCs/>
          <w:sz w:val="28"/>
          <w:szCs w:val="28"/>
        </w:rPr>
        <w:t>В соответствии со ст. 151 Гражданского кодекса Республики Беларусь (далее – ГК) право на имя неразрывно связанно с личностью, оно относится к категории нематериальных благ, принадлежащих гражданину от рождения или в силу акта законодательства, и является неотчуждаемым и непередаваемым иным способом.</w:t>
      </w:r>
      <w:r w:rsidRPr="00B644BF">
        <w:rPr>
          <w:rFonts w:ascii="Times New Roman" w:eastAsia="Times New Roman" w:hAnsi="Times New Roman" w:cs="Times New Roman"/>
          <w:sz w:val="28"/>
          <w:szCs w:val="28"/>
        </w:rPr>
        <w:t xml:space="preserve"> В отличие от имущественных прав (например, права на вознаграждение), право на имя защищает не экономический интерес, а личность, репутацию и духовную связь автора с его творением.</w:t>
      </w:r>
    </w:p>
    <w:p w:rsidR="003E77D8" w:rsidRPr="00B644BF" w:rsidRDefault="003E77D8" w:rsidP="00A05719">
      <w:pPr>
        <w:shd w:val="clear" w:color="auto" w:fill="FFFFFF"/>
        <w:spacing w:after="0" w:line="240" w:lineRule="auto"/>
        <w:ind w:firstLine="709"/>
        <w:jc w:val="both"/>
        <w:rPr>
          <w:rFonts w:ascii="Times New Roman" w:eastAsia="Times New Roman" w:hAnsi="Times New Roman" w:cs="Times New Roman"/>
          <w:bCs/>
          <w:sz w:val="28"/>
          <w:szCs w:val="28"/>
        </w:rPr>
      </w:pPr>
      <w:r w:rsidRPr="00B644BF">
        <w:rPr>
          <w:rFonts w:ascii="Times New Roman" w:eastAsia="Times New Roman" w:hAnsi="Times New Roman" w:cs="Times New Roman"/>
          <w:bCs/>
          <w:sz w:val="28"/>
          <w:szCs w:val="28"/>
        </w:rPr>
        <w:lastRenderedPageBreak/>
        <w:t>В контексте авторского права право на имя</w:t>
      </w:r>
      <w:r w:rsidRPr="00B644BF">
        <w:rPr>
          <w:rFonts w:ascii="Times New Roman" w:hAnsi="Times New Roman" w:cs="Times New Roman"/>
        </w:rPr>
        <w:t xml:space="preserve"> </w:t>
      </w:r>
      <w:r w:rsidRPr="00B644BF">
        <w:rPr>
          <w:rFonts w:ascii="Times New Roman" w:eastAsia="Times New Roman" w:hAnsi="Times New Roman" w:cs="Times New Roman"/>
          <w:bCs/>
          <w:sz w:val="28"/>
          <w:szCs w:val="28"/>
        </w:rPr>
        <w:t xml:space="preserve">представляет собой право использовать или разрешать использовать произведение под подлинным именем автора, вымышленным именем (псевдонимом) или без обозначения имени (анонимно) (ст. 15 Закона Республики Беларусь «Об авторском праве и смежных правах» (далее – Закон)). </w:t>
      </w:r>
    </w:p>
    <w:p w:rsidR="003E77D8" w:rsidRPr="00B644BF" w:rsidRDefault="003E77D8" w:rsidP="00A05719">
      <w:pPr>
        <w:shd w:val="clear" w:color="auto" w:fill="FFFFFF"/>
        <w:spacing w:after="0" w:line="240" w:lineRule="auto"/>
        <w:ind w:firstLine="709"/>
        <w:jc w:val="both"/>
        <w:rPr>
          <w:rFonts w:ascii="Times New Roman" w:eastAsia="Times New Roman" w:hAnsi="Times New Roman" w:cs="Times New Roman"/>
          <w:bCs/>
          <w:sz w:val="28"/>
          <w:szCs w:val="28"/>
        </w:rPr>
      </w:pPr>
      <w:r w:rsidRPr="00B644BF">
        <w:rPr>
          <w:rFonts w:ascii="Times New Roman" w:eastAsia="Times New Roman" w:hAnsi="Times New Roman" w:cs="Times New Roman"/>
          <w:bCs/>
          <w:sz w:val="28"/>
          <w:szCs w:val="28"/>
        </w:rPr>
        <w:t>Неотчуждаемость и непередаваемость права на имя выражается в том, что автор не может продать, подарить, завещать или иным образом передать кому-либо своё право быть признанным автором. Даже если он передал все имущественные права на произведение на условиях авторского договора, право требовать указания своего имени остаётся за ним. Право на имя носит абсолютный характер, то есть оно действует в отношении всех третьих лиц. Любой, кто использует произведение, обязан соблюдать это право.</w:t>
      </w:r>
    </w:p>
    <w:p w:rsidR="003E77D8" w:rsidRPr="00B644BF" w:rsidRDefault="003E77D8" w:rsidP="00A05719">
      <w:pPr>
        <w:shd w:val="clear" w:color="auto" w:fill="FFFFFF"/>
        <w:spacing w:after="0" w:line="240" w:lineRule="auto"/>
        <w:ind w:firstLine="709"/>
        <w:jc w:val="both"/>
        <w:rPr>
          <w:rFonts w:ascii="Times New Roman" w:eastAsia="Times New Roman" w:hAnsi="Times New Roman" w:cs="Times New Roman"/>
          <w:bCs/>
          <w:sz w:val="28"/>
          <w:szCs w:val="28"/>
        </w:rPr>
      </w:pPr>
      <w:r w:rsidRPr="00B644BF">
        <w:rPr>
          <w:rFonts w:ascii="Times New Roman" w:eastAsia="Times New Roman" w:hAnsi="Times New Roman" w:cs="Times New Roman"/>
          <w:bCs/>
          <w:sz w:val="28"/>
          <w:szCs w:val="28"/>
        </w:rPr>
        <w:t>Специфическими чертами права на имя, вытекающими из его природы являются: бессрочность – право на имя охраняется вечно, т.е. после смерти автора требовать защиты его права на имя могут его наследники, а в их отсутствие – уполномоченный государственный орган (например, НЦИС) или специальные организации по управлению правами; императивность – нормы, регулирующие вопросы правовой охраны права на имя носят обязательный, не допускающий изменения по соглашению сторон характер. Нельзя заключить договор, по которому автор «отказывается» от права на имя; публичный элемент – защита права на имя имеет значение не только для самого автора, но и для общества (культуры, науки), так как обеспечивает достоверность информации об авторстве и сохраняет историческую и культурную атрибуцию произведений.</w:t>
      </w:r>
    </w:p>
    <w:p w:rsidR="003E77D8" w:rsidRPr="00B644BF" w:rsidRDefault="003E77D8" w:rsidP="00A05719">
      <w:pPr>
        <w:shd w:val="clear" w:color="auto" w:fill="FFFFFF"/>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rPr>
        <w:t>Право на имя заключается в возможности автора требовать указания своего имени (подлинного или псевдонима) при любом использовании произведения: публикации, цитировании, публичном исполнении и т.д. Например, у</w:t>
      </w:r>
      <w:r w:rsidRPr="00B644BF">
        <w:rPr>
          <w:rFonts w:ascii="Times New Roman" w:eastAsia="Times New Roman" w:hAnsi="Times New Roman" w:cs="Times New Roman"/>
          <w:bCs/>
          <w:sz w:val="28"/>
          <w:szCs w:val="28"/>
        </w:rPr>
        <w:t xml:space="preserve">казание имени автора произведения при использовании произведения в радиопрограмме может осуществляться в радиопрограмме, в составе которой используется произведение, или иным способом, информация о котором должна содержаться в этой радиопрограмме (ст. 15 Закона). </w:t>
      </w:r>
      <w:r w:rsidRPr="00B644BF">
        <w:rPr>
          <w:rFonts w:ascii="Times New Roman" w:eastAsia="Times New Roman" w:hAnsi="Times New Roman" w:cs="Times New Roman"/>
          <w:sz w:val="28"/>
          <w:szCs w:val="28"/>
        </w:rPr>
        <w:t>Это право обеспечивает:</w:t>
      </w:r>
    </w:p>
    <w:p w:rsidR="003E77D8" w:rsidRPr="00B644BF" w:rsidRDefault="003E77D8" w:rsidP="00A05719">
      <w:pPr>
        <w:shd w:val="clear" w:color="auto" w:fill="FFFFFF"/>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bCs/>
          <w:sz w:val="28"/>
          <w:szCs w:val="28"/>
        </w:rPr>
        <w:t>– идентификацию создателя, т.е. п</w:t>
      </w:r>
      <w:r w:rsidRPr="00B644BF">
        <w:rPr>
          <w:rFonts w:ascii="Times New Roman" w:eastAsia="Times New Roman" w:hAnsi="Times New Roman" w:cs="Times New Roman"/>
          <w:sz w:val="28"/>
          <w:szCs w:val="28"/>
        </w:rPr>
        <w:t>озволяет обществу связать произведение с конкретной личностью;</w:t>
      </w:r>
    </w:p>
    <w:p w:rsidR="003E77D8" w:rsidRPr="00B644BF" w:rsidRDefault="003E77D8" w:rsidP="00A05719">
      <w:pPr>
        <w:shd w:val="clear" w:color="auto" w:fill="FFFFFF"/>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bCs/>
          <w:sz w:val="28"/>
          <w:szCs w:val="28"/>
        </w:rPr>
        <w:t>– защиту репутации, поскольку</w:t>
      </w:r>
      <w:r w:rsidRPr="00B644BF">
        <w:rPr>
          <w:rFonts w:ascii="Times New Roman" w:eastAsia="Times New Roman" w:hAnsi="Times New Roman" w:cs="Times New Roman"/>
          <w:sz w:val="28"/>
          <w:szCs w:val="28"/>
        </w:rPr>
        <w:t xml:space="preserve"> правильное указание имени – основа для формирования профессиональной репутации и признания заслуг.</w:t>
      </w:r>
    </w:p>
    <w:p w:rsidR="003E77D8" w:rsidRPr="00B644BF" w:rsidRDefault="003E77D8" w:rsidP="00A05719">
      <w:pPr>
        <w:shd w:val="clear" w:color="auto" w:fill="FFFFFF"/>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bCs/>
          <w:sz w:val="28"/>
          <w:szCs w:val="28"/>
        </w:rPr>
        <w:t>– предотвращение плагиата, т.к. я</w:t>
      </w:r>
      <w:r w:rsidRPr="00B644BF">
        <w:rPr>
          <w:rFonts w:ascii="Times New Roman" w:eastAsia="Times New Roman" w:hAnsi="Times New Roman" w:cs="Times New Roman"/>
          <w:sz w:val="28"/>
          <w:szCs w:val="28"/>
        </w:rPr>
        <w:t>вляется основным барьером для присвоения результатов чужого творческого труда.</w:t>
      </w:r>
    </w:p>
    <w:p w:rsidR="003E77D8" w:rsidRPr="00B644BF" w:rsidRDefault="003E77D8" w:rsidP="00A05719">
      <w:pPr>
        <w:shd w:val="clear" w:color="auto" w:fill="FFFFFF"/>
        <w:spacing w:after="0" w:line="240" w:lineRule="auto"/>
        <w:ind w:firstLine="709"/>
        <w:jc w:val="both"/>
        <w:rPr>
          <w:rFonts w:ascii="Times New Roman" w:eastAsia="Times New Roman" w:hAnsi="Times New Roman" w:cs="Times New Roman"/>
          <w:bCs/>
          <w:sz w:val="28"/>
          <w:szCs w:val="28"/>
        </w:rPr>
      </w:pPr>
      <w:r w:rsidRPr="00B644BF">
        <w:rPr>
          <w:rFonts w:ascii="Times New Roman" w:eastAsia="Times New Roman" w:hAnsi="Times New Roman" w:cs="Times New Roman"/>
          <w:bCs/>
          <w:sz w:val="28"/>
          <w:szCs w:val="28"/>
        </w:rPr>
        <w:t xml:space="preserve">Не смотря на то, что право на имя – это составляющая личного неимущественного блока, оно непосредственно взаимодействует с имущественными правами, поскольку его нарушение (например, использование произведения без указания автора) почти всегда </w:t>
      </w:r>
      <w:r w:rsidRPr="00B644BF">
        <w:rPr>
          <w:rFonts w:ascii="Times New Roman" w:eastAsia="Times New Roman" w:hAnsi="Times New Roman" w:cs="Times New Roman"/>
          <w:bCs/>
          <w:sz w:val="28"/>
          <w:szCs w:val="28"/>
        </w:rPr>
        <w:lastRenderedPageBreak/>
        <w:t>сопровождается незаконным использованием самого произведения, то есть нарушением имущественных прав. Кроме того псевдоним может выступать как объект потенциальной коммерциализации, широко известный псевдоним приобретает коммерческую ценность. Хотя право на использование псевдонима как моральное право неотчуждаемо, степень его известности может учитываться при оценке ущерба репутации или размера компенсации.</w:t>
      </w:r>
    </w:p>
    <w:p w:rsidR="003E77D8" w:rsidRPr="00B644BF" w:rsidRDefault="003E77D8" w:rsidP="00A05719">
      <w:pPr>
        <w:shd w:val="clear" w:color="auto" w:fill="FFFFFF"/>
        <w:spacing w:after="0" w:line="240" w:lineRule="auto"/>
        <w:ind w:firstLine="709"/>
        <w:jc w:val="both"/>
        <w:rPr>
          <w:rFonts w:ascii="Times New Roman" w:eastAsia="Times New Roman" w:hAnsi="Times New Roman" w:cs="Times New Roman"/>
          <w:bCs/>
          <w:sz w:val="28"/>
          <w:szCs w:val="28"/>
        </w:rPr>
      </w:pPr>
      <w:r w:rsidRPr="00B644BF">
        <w:rPr>
          <w:rFonts w:ascii="Times New Roman" w:eastAsia="Times New Roman" w:hAnsi="Times New Roman" w:cs="Times New Roman"/>
          <w:bCs/>
          <w:sz w:val="28"/>
          <w:szCs w:val="28"/>
        </w:rPr>
        <w:t>Нарушения этого права встречаются довольно часто, особенно в цифровой среде и выражаются в следующих формах:</w:t>
      </w:r>
    </w:p>
    <w:p w:rsidR="003E77D8" w:rsidRPr="00B644BF" w:rsidRDefault="003E77D8" w:rsidP="00A05719">
      <w:pPr>
        <w:shd w:val="clear" w:color="auto" w:fill="FFFFFF"/>
        <w:spacing w:after="0" w:line="240" w:lineRule="auto"/>
        <w:ind w:firstLine="709"/>
        <w:jc w:val="both"/>
        <w:rPr>
          <w:rFonts w:ascii="Times New Roman" w:eastAsia="Times New Roman" w:hAnsi="Times New Roman" w:cs="Times New Roman"/>
          <w:bCs/>
          <w:sz w:val="28"/>
          <w:szCs w:val="28"/>
        </w:rPr>
      </w:pPr>
      <w:r w:rsidRPr="00B644BF">
        <w:rPr>
          <w:rFonts w:ascii="Times New Roman" w:eastAsia="Times New Roman" w:hAnsi="Times New Roman" w:cs="Times New Roman"/>
          <w:bCs/>
          <w:sz w:val="28"/>
          <w:szCs w:val="28"/>
        </w:rPr>
        <w:t>– неуказание имени автора, т.е. использование произведения литературы, науки или искусства без какого-либо упоминания создателя.</w:t>
      </w:r>
    </w:p>
    <w:p w:rsidR="003E77D8" w:rsidRPr="00B644BF" w:rsidRDefault="003E77D8" w:rsidP="00A05719">
      <w:pPr>
        <w:shd w:val="clear" w:color="auto" w:fill="FFFFFF"/>
        <w:spacing w:after="0" w:line="240" w:lineRule="auto"/>
        <w:ind w:firstLine="709"/>
        <w:jc w:val="both"/>
        <w:rPr>
          <w:rFonts w:ascii="Times New Roman" w:eastAsia="Times New Roman" w:hAnsi="Times New Roman" w:cs="Times New Roman"/>
          <w:bCs/>
          <w:sz w:val="28"/>
          <w:szCs w:val="28"/>
        </w:rPr>
      </w:pPr>
      <w:r w:rsidRPr="00B644BF">
        <w:rPr>
          <w:rFonts w:ascii="Times New Roman" w:eastAsia="Times New Roman" w:hAnsi="Times New Roman" w:cs="Times New Roman"/>
          <w:bCs/>
          <w:sz w:val="28"/>
          <w:szCs w:val="28"/>
        </w:rPr>
        <w:t>– указание неверного имени, т.е. присвоение авторства другому лицу (плагиат).</w:t>
      </w:r>
    </w:p>
    <w:p w:rsidR="003E77D8" w:rsidRPr="00B644BF" w:rsidRDefault="003E77D8" w:rsidP="00A05719">
      <w:pPr>
        <w:shd w:val="clear" w:color="auto" w:fill="FFFFFF"/>
        <w:spacing w:after="0" w:line="240" w:lineRule="auto"/>
        <w:ind w:firstLine="709"/>
        <w:jc w:val="both"/>
        <w:rPr>
          <w:rFonts w:ascii="Times New Roman" w:eastAsia="Times New Roman" w:hAnsi="Times New Roman" w:cs="Times New Roman"/>
          <w:bCs/>
          <w:sz w:val="28"/>
          <w:szCs w:val="28"/>
        </w:rPr>
      </w:pPr>
      <w:r w:rsidRPr="00B644BF">
        <w:rPr>
          <w:rFonts w:ascii="Times New Roman" w:eastAsia="Times New Roman" w:hAnsi="Times New Roman" w:cs="Times New Roman"/>
          <w:bCs/>
          <w:sz w:val="28"/>
          <w:szCs w:val="28"/>
        </w:rPr>
        <w:t>– искажение имени, т.е. опечатки, неправильное склонение, которое может затруднить идентификацию.</w:t>
      </w:r>
    </w:p>
    <w:p w:rsidR="003E77D8" w:rsidRPr="00B644BF" w:rsidRDefault="003E77D8" w:rsidP="00A05719">
      <w:pPr>
        <w:shd w:val="clear" w:color="auto" w:fill="FFFFFF"/>
        <w:spacing w:after="0" w:line="240" w:lineRule="auto"/>
        <w:ind w:firstLine="709"/>
        <w:jc w:val="both"/>
        <w:rPr>
          <w:rFonts w:ascii="Times New Roman" w:eastAsia="Times New Roman" w:hAnsi="Times New Roman" w:cs="Times New Roman"/>
          <w:bCs/>
          <w:sz w:val="28"/>
          <w:szCs w:val="28"/>
        </w:rPr>
      </w:pPr>
      <w:r w:rsidRPr="00B644BF">
        <w:rPr>
          <w:rFonts w:ascii="Times New Roman" w:eastAsia="Times New Roman" w:hAnsi="Times New Roman" w:cs="Times New Roman"/>
          <w:bCs/>
          <w:sz w:val="28"/>
          <w:szCs w:val="28"/>
        </w:rPr>
        <w:t>– нарушение условий об анонимности или псевдониме, т.е. раскрытие настоящего имени автора, публикующегося под псевдонимом, или указание имени там, где автор пожелал остаться анонимным.</w:t>
      </w:r>
    </w:p>
    <w:p w:rsidR="003E77D8" w:rsidRPr="00B644BF" w:rsidRDefault="003E77D8" w:rsidP="00A05719">
      <w:pPr>
        <w:shd w:val="clear" w:color="auto" w:fill="FFFFFF"/>
        <w:spacing w:after="0" w:line="240" w:lineRule="auto"/>
        <w:ind w:firstLine="709"/>
        <w:jc w:val="both"/>
        <w:rPr>
          <w:rFonts w:ascii="Times New Roman" w:eastAsia="Times New Roman" w:hAnsi="Times New Roman" w:cs="Times New Roman"/>
          <w:bCs/>
          <w:sz w:val="28"/>
          <w:szCs w:val="28"/>
        </w:rPr>
      </w:pPr>
      <w:r w:rsidRPr="00B644BF">
        <w:rPr>
          <w:rFonts w:ascii="Times New Roman" w:eastAsia="Times New Roman" w:hAnsi="Times New Roman" w:cs="Times New Roman"/>
          <w:bCs/>
          <w:sz w:val="28"/>
          <w:szCs w:val="28"/>
        </w:rPr>
        <w:t>– соавторство, т.е. необоснованное включение или, наоборот, исключение соавтора при использовании произведения.</w:t>
      </w:r>
    </w:p>
    <w:p w:rsidR="003E77D8" w:rsidRPr="00B644BF" w:rsidRDefault="003E77D8" w:rsidP="00A05719">
      <w:pPr>
        <w:shd w:val="clear" w:color="auto" w:fill="FFFFFF"/>
        <w:spacing w:after="0" w:line="240" w:lineRule="auto"/>
        <w:ind w:firstLine="709"/>
        <w:jc w:val="both"/>
        <w:rPr>
          <w:rFonts w:ascii="Times New Roman" w:eastAsia="Times New Roman" w:hAnsi="Times New Roman" w:cs="Times New Roman"/>
          <w:bCs/>
          <w:sz w:val="28"/>
          <w:szCs w:val="28"/>
        </w:rPr>
      </w:pPr>
      <w:r w:rsidRPr="00B644BF">
        <w:rPr>
          <w:rFonts w:ascii="Times New Roman" w:eastAsia="Times New Roman" w:hAnsi="Times New Roman" w:cs="Times New Roman"/>
          <w:bCs/>
          <w:sz w:val="28"/>
          <w:szCs w:val="28"/>
        </w:rPr>
        <w:t>Защита права на имя – это защита не материальных интересов, а интересов личности: чести, достоинства, деловой репутации, творческой индивидуальности, духовной связи с произведением. Механизм защиты реализуется в досудебном порядке либо через суд путем требования опровержения, возмещения убытков и морального вреда при нарушении чести и деловой репутации.</w:t>
      </w:r>
    </w:p>
    <w:p w:rsidR="003E77D8" w:rsidRPr="00B644BF" w:rsidRDefault="003E77D8" w:rsidP="00A05719">
      <w:pPr>
        <w:shd w:val="clear" w:color="auto" w:fill="FFFFFF"/>
        <w:spacing w:after="0" w:line="240" w:lineRule="auto"/>
        <w:ind w:firstLine="709"/>
        <w:jc w:val="both"/>
        <w:rPr>
          <w:rFonts w:ascii="Times New Roman" w:eastAsia="Times New Roman" w:hAnsi="Times New Roman" w:cs="Times New Roman"/>
          <w:bCs/>
          <w:sz w:val="28"/>
          <w:szCs w:val="28"/>
        </w:rPr>
      </w:pPr>
      <w:r w:rsidRPr="00B644BF">
        <w:rPr>
          <w:rFonts w:ascii="Times New Roman" w:eastAsia="Times New Roman" w:hAnsi="Times New Roman" w:cs="Times New Roman"/>
          <w:bCs/>
          <w:sz w:val="28"/>
          <w:szCs w:val="28"/>
        </w:rPr>
        <w:t>В досудебном порядке механизм защиты права на имя может быть реализован в претензионном порядке посредством направления нарушителю требования прекратить нарушение (например, указать имя) и возместить моральный вред, или путем обращения к администраторам платформ посредством подачи жалобы на нарушение авторских прав на таких ресурсах, как социальные сети, новостные агрегаторы и др.</w:t>
      </w:r>
    </w:p>
    <w:p w:rsidR="003E77D8" w:rsidRPr="00B644BF" w:rsidRDefault="003E77D8" w:rsidP="00A05719">
      <w:pPr>
        <w:shd w:val="clear" w:color="auto" w:fill="FFFFFF"/>
        <w:spacing w:after="0" w:line="240" w:lineRule="auto"/>
        <w:ind w:firstLine="709"/>
        <w:jc w:val="both"/>
        <w:rPr>
          <w:rFonts w:ascii="Times New Roman" w:eastAsia="Times New Roman" w:hAnsi="Times New Roman" w:cs="Times New Roman"/>
          <w:bCs/>
          <w:sz w:val="28"/>
          <w:szCs w:val="28"/>
        </w:rPr>
      </w:pPr>
      <w:r w:rsidRPr="00B644BF">
        <w:rPr>
          <w:rFonts w:ascii="Times New Roman" w:eastAsia="Times New Roman" w:hAnsi="Times New Roman" w:cs="Times New Roman"/>
          <w:bCs/>
          <w:sz w:val="28"/>
          <w:szCs w:val="28"/>
        </w:rPr>
        <w:t>Судебная защита – это основной способ защиты права на имя. Автор вправе подать иск в суд и потребовать признания права (юридического установления факта авторства), пресечения действий, нарушающих право (запрета на дальнейшее использование произведения без указания имени) возмещения морального вреда (компенсации за причиненные нравственные страдания (ст. 152 ГК). Размер определяется судом с учетом характера нарушений и степени вины), изъятия контрафактных экземпляров.</w:t>
      </w:r>
    </w:p>
    <w:p w:rsidR="003E77D8" w:rsidRPr="00B644BF" w:rsidRDefault="003E77D8" w:rsidP="00A05719">
      <w:pPr>
        <w:shd w:val="clear" w:color="auto" w:fill="FFFFFF"/>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rPr>
        <w:t>С развитием интернета защита права на имя усложнилась, поэтому помимо реализации механизмов защиты большое значение имеет применение профилактических мер, направленных на его защиту.</w:t>
      </w:r>
    </w:p>
    <w:p w:rsidR="003E77D8" w:rsidRPr="00B644BF" w:rsidRDefault="003E77D8" w:rsidP="00A05719">
      <w:pPr>
        <w:shd w:val="clear" w:color="auto" w:fill="FFFFFF"/>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rPr>
        <w:lastRenderedPageBreak/>
        <w:t>К таким формам можно отнести фиксацию этапов создания произведения (черновики, исходные файлы, свидетельства о депонировании , нотариальное удостоверение), размещение знака охраны авторского права (©) с указанием имени и года, ведение просветительской работы, направленной на информирование граждан о правах на защиту имени через соцрекламу на телевидении и интрнет-порталах.</w:t>
      </w:r>
    </w:p>
    <w:p w:rsidR="003E77D8" w:rsidRPr="00B644BF" w:rsidRDefault="003E77D8" w:rsidP="00A05719">
      <w:pPr>
        <w:shd w:val="clear" w:color="auto" w:fill="FFFFFF"/>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rPr>
        <w:t xml:space="preserve">Таким образом, право автора на имя </w:t>
      </w:r>
      <w:r w:rsidRPr="00B644BF">
        <w:rPr>
          <w:rFonts w:ascii="Times New Roman" w:eastAsia="Times New Roman" w:hAnsi="Times New Roman" w:cs="Times New Roman"/>
          <w:bCs/>
          <w:sz w:val="28"/>
          <w:szCs w:val="28"/>
        </w:rPr>
        <w:t>–</w:t>
      </w:r>
      <w:r w:rsidRPr="00B644BF">
        <w:rPr>
          <w:rFonts w:ascii="Times New Roman" w:eastAsia="Times New Roman" w:hAnsi="Times New Roman" w:cs="Times New Roman"/>
          <w:sz w:val="28"/>
          <w:szCs w:val="28"/>
        </w:rPr>
        <w:t xml:space="preserve"> это краеугольный камень авторского права, защищающий не просто формальность, а личность и творческий вклад создателя. Его соблюдение формирует этичную и уважительную среду для культурного и научного обмена. Авторам важно знать свои права и быть готовыми их отстаивать, а пользователям </w:t>
      </w:r>
      <w:r w:rsidRPr="00B644BF">
        <w:rPr>
          <w:rFonts w:ascii="Times New Roman" w:eastAsia="Times New Roman" w:hAnsi="Times New Roman" w:cs="Times New Roman"/>
          <w:bCs/>
          <w:sz w:val="28"/>
          <w:szCs w:val="28"/>
        </w:rPr>
        <w:t>–</w:t>
      </w:r>
      <w:r w:rsidRPr="00B644BF">
        <w:rPr>
          <w:rFonts w:ascii="Times New Roman" w:eastAsia="Times New Roman" w:hAnsi="Times New Roman" w:cs="Times New Roman"/>
          <w:sz w:val="28"/>
          <w:szCs w:val="28"/>
        </w:rPr>
        <w:t xml:space="preserve"> всегда корректно указывать источник и имя создателя, что является не только юридической обязанностью, но и знаком профессионального уважения.</w:t>
      </w:r>
    </w:p>
    <w:p w:rsidR="003E77D8" w:rsidRPr="00B644BF" w:rsidRDefault="003E77D8" w:rsidP="00A05719">
      <w:pPr>
        <w:spacing w:after="0" w:line="240" w:lineRule="auto"/>
        <w:ind w:firstLine="709"/>
        <w:jc w:val="both"/>
        <w:rPr>
          <w:rFonts w:ascii="Times New Roman" w:hAnsi="Times New Roman" w:cs="Times New Roman"/>
          <w:sz w:val="24"/>
          <w:szCs w:val="24"/>
        </w:rPr>
      </w:pPr>
    </w:p>
    <w:p w:rsidR="003E77D8" w:rsidRPr="00B644BF" w:rsidRDefault="003E77D8" w:rsidP="00A05719">
      <w:pPr>
        <w:pStyle w:val="a9"/>
        <w:widowControl w:val="0"/>
        <w:shd w:val="clear" w:color="auto" w:fill="FFFFFF"/>
        <w:spacing w:before="0" w:beforeAutospacing="0" w:after="0" w:afterAutospacing="0"/>
        <w:ind w:firstLine="709"/>
        <w:jc w:val="center"/>
        <w:rPr>
          <w:b/>
          <w:bCs/>
        </w:rPr>
      </w:pPr>
      <w:r w:rsidRPr="00B644BF">
        <w:rPr>
          <w:b/>
          <w:bCs/>
          <w:lang w:val="ru-RU"/>
        </w:rPr>
        <w:t>Список л</w:t>
      </w:r>
      <w:r w:rsidRPr="00B644BF">
        <w:rPr>
          <w:b/>
          <w:bCs/>
        </w:rPr>
        <w:t>итератур</w:t>
      </w:r>
      <w:r w:rsidRPr="00B644BF">
        <w:rPr>
          <w:b/>
          <w:bCs/>
          <w:lang w:val="ru-RU"/>
        </w:rPr>
        <w:t>ы</w:t>
      </w:r>
    </w:p>
    <w:p w:rsidR="003E77D8" w:rsidRPr="00B644BF" w:rsidRDefault="003E77D8" w:rsidP="00A05719">
      <w:pPr>
        <w:pStyle w:val="a9"/>
        <w:widowControl w:val="0"/>
        <w:numPr>
          <w:ilvl w:val="0"/>
          <w:numId w:val="8"/>
        </w:numPr>
        <w:shd w:val="clear" w:color="auto" w:fill="FFFFFF"/>
        <w:tabs>
          <w:tab w:val="left" w:pos="993"/>
        </w:tabs>
        <w:spacing w:before="0" w:beforeAutospacing="0" w:after="0" w:afterAutospacing="0"/>
        <w:ind w:left="0" w:firstLine="709"/>
        <w:jc w:val="both"/>
        <w:rPr>
          <w:lang w:val="ru-RU"/>
        </w:rPr>
      </w:pPr>
      <w:r w:rsidRPr="00B644BF">
        <w:rPr>
          <w:lang w:val="ru-RU"/>
        </w:rPr>
        <w:t>Гражданский кодекс Республики Беларусь : 7 декабря 1998 г. № 218-З : принят Палатой представителей 28 октября 1998г.: одобр. Советом Респ. Беларусь 19 ноября 1998г.: в ред. Закона Респ. Беларусь от 16.03.2026 г. // ЭТАЛОН : информ.-поисковая система (дата обращения: 25.04.2026).</w:t>
      </w:r>
    </w:p>
    <w:p w:rsidR="003E77D8" w:rsidRPr="00B644BF" w:rsidRDefault="003E77D8" w:rsidP="00A05719">
      <w:pPr>
        <w:pStyle w:val="a9"/>
        <w:widowControl w:val="0"/>
        <w:numPr>
          <w:ilvl w:val="0"/>
          <w:numId w:val="8"/>
        </w:numPr>
        <w:shd w:val="clear" w:color="auto" w:fill="FFFFFF"/>
        <w:tabs>
          <w:tab w:val="left" w:pos="993"/>
        </w:tabs>
        <w:spacing w:before="0" w:beforeAutospacing="0" w:after="0" w:afterAutospacing="0"/>
        <w:ind w:left="0" w:firstLine="709"/>
        <w:jc w:val="both"/>
        <w:rPr>
          <w:lang w:val="ru-RU"/>
        </w:rPr>
      </w:pPr>
      <w:r w:rsidRPr="00B644BF">
        <w:rPr>
          <w:lang w:val="ru-RU"/>
        </w:rPr>
        <w:t xml:space="preserve">Об авторском праве и смежных правах [Электронный ресурс] : Закон Респ. Беларусь , 17 мая 2011г., № 262-З ; в ред. от 09.01.2023 // ЭТАЛОН : информ.-поисковая система (дата обращения: 25.09.2026). </w:t>
      </w:r>
    </w:p>
    <w:p w:rsidR="004D6D00" w:rsidRDefault="004D6D00" w:rsidP="003E77D8">
      <w:pPr>
        <w:spacing w:after="0" w:line="240" w:lineRule="auto"/>
        <w:rPr>
          <w:rFonts w:ascii="Times New Roman" w:hAnsi="Times New Roman" w:cs="Times New Roman"/>
          <w:sz w:val="28"/>
          <w:szCs w:val="28"/>
        </w:rPr>
      </w:pPr>
    </w:p>
    <w:p w:rsidR="003E77D8" w:rsidRPr="00B644BF" w:rsidRDefault="003E77D8" w:rsidP="004D6D00">
      <w:pPr>
        <w:spacing w:after="0" w:line="240" w:lineRule="auto"/>
        <w:ind w:firstLine="709"/>
        <w:rPr>
          <w:rFonts w:ascii="Times New Roman" w:hAnsi="Times New Roman" w:cs="Times New Roman"/>
          <w:sz w:val="28"/>
          <w:szCs w:val="28"/>
        </w:rPr>
      </w:pPr>
      <w:r w:rsidRPr="00B644BF">
        <w:rPr>
          <w:rFonts w:ascii="Times New Roman" w:hAnsi="Times New Roman" w:cs="Times New Roman"/>
          <w:sz w:val="28"/>
          <w:szCs w:val="28"/>
        </w:rPr>
        <w:t>УДК 346</w:t>
      </w:r>
      <w:r w:rsidR="004D6D00">
        <w:rPr>
          <w:rFonts w:ascii="Times New Roman" w:hAnsi="Times New Roman" w:cs="Times New Roman"/>
          <w:sz w:val="28"/>
          <w:szCs w:val="28"/>
        </w:rPr>
        <w:t>:</w:t>
      </w:r>
      <w:r w:rsidRPr="00B644BF">
        <w:rPr>
          <w:rFonts w:ascii="Times New Roman" w:hAnsi="Times New Roman" w:cs="Times New Roman"/>
          <w:sz w:val="28"/>
          <w:szCs w:val="28"/>
        </w:rPr>
        <w:t>347</w:t>
      </w:r>
    </w:p>
    <w:p w:rsidR="003E77D8" w:rsidRPr="00B644BF" w:rsidRDefault="003E77D8" w:rsidP="004D6D00">
      <w:pPr>
        <w:spacing w:after="0" w:line="240" w:lineRule="auto"/>
        <w:ind w:firstLine="709"/>
        <w:jc w:val="center"/>
        <w:rPr>
          <w:rFonts w:ascii="Times New Roman" w:hAnsi="Times New Roman" w:cs="Times New Roman"/>
          <w:b/>
          <w:sz w:val="28"/>
          <w:szCs w:val="28"/>
        </w:rPr>
      </w:pPr>
      <w:r w:rsidRPr="00B644BF">
        <w:rPr>
          <w:rFonts w:ascii="Times New Roman" w:hAnsi="Times New Roman" w:cs="Times New Roman"/>
          <w:b/>
          <w:sz w:val="28"/>
          <w:szCs w:val="28"/>
        </w:rPr>
        <w:t>ОСНОВНЫЕ ТЕНДЕНЦИИ ПРАВОВОГО РЕГУЛИРОВАНИЯ БАНКРОТСТВА В КИТАЕ В КОНТЕКСТЕ УСТОЙЧИВОГО РАЗВИТИЯ</w:t>
      </w:r>
    </w:p>
    <w:p w:rsidR="003E77D8" w:rsidRPr="00B644BF" w:rsidRDefault="003E77D8" w:rsidP="004D6D00">
      <w:pPr>
        <w:spacing w:after="0" w:line="240" w:lineRule="auto"/>
        <w:ind w:firstLine="709"/>
        <w:jc w:val="center"/>
        <w:rPr>
          <w:rFonts w:ascii="Times New Roman" w:hAnsi="Times New Roman" w:cs="Times New Roman"/>
          <w:b/>
          <w:sz w:val="28"/>
          <w:szCs w:val="28"/>
        </w:rPr>
      </w:pPr>
    </w:p>
    <w:p w:rsidR="003E77D8" w:rsidRPr="00B644BF" w:rsidRDefault="003E77D8" w:rsidP="004D6D00">
      <w:pPr>
        <w:spacing w:after="0" w:line="240" w:lineRule="auto"/>
        <w:ind w:firstLine="709"/>
        <w:jc w:val="center"/>
        <w:rPr>
          <w:rFonts w:ascii="Times New Roman" w:hAnsi="Times New Roman" w:cs="Times New Roman"/>
          <w:b/>
          <w:sz w:val="28"/>
          <w:szCs w:val="28"/>
        </w:rPr>
      </w:pPr>
      <w:r w:rsidRPr="00B644BF">
        <w:rPr>
          <w:rFonts w:ascii="Times New Roman" w:hAnsi="Times New Roman" w:cs="Times New Roman"/>
          <w:b/>
          <w:sz w:val="28"/>
          <w:szCs w:val="28"/>
        </w:rPr>
        <w:t>Корень Татьяна Анатольевна</w:t>
      </w:r>
    </w:p>
    <w:p w:rsidR="003E77D8" w:rsidRPr="00B644BF" w:rsidRDefault="003E77D8" w:rsidP="004D6D00">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заведующий кафедрой юриспруденции  факультета экономики и права</w:t>
      </w:r>
    </w:p>
    <w:p w:rsidR="003E77D8" w:rsidRPr="00B644BF" w:rsidRDefault="003E77D8" w:rsidP="004D6D00">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учреждения образования «Могилевский государственный университет имени А.А.Кулешова»; кандидат   юридических наук, доцент</w:t>
      </w:r>
    </w:p>
    <w:p w:rsidR="003E77D8" w:rsidRPr="00B644BF" w:rsidRDefault="003E77D8" w:rsidP="004D6D00">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(г. Могилев, Беларусь)</w:t>
      </w:r>
    </w:p>
    <w:p w:rsidR="003E77D8" w:rsidRPr="004D6D00" w:rsidRDefault="00F975FD" w:rsidP="004D6D00">
      <w:pPr>
        <w:spacing w:after="0" w:line="240" w:lineRule="auto"/>
        <w:ind w:firstLine="709"/>
        <w:jc w:val="center"/>
        <w:rPr>
          <w:rFonts w:ascii="Times New Roman" w:hAnsi="Times New Roman" w:cs="Times New Roman"/>
          <w:sz w:val="28"/>
          <w:szCs w:val="28"/>
        </w:rPr>
      </w:pPr>
      <w:hyperlink r:id="rId10" w:history="1">
        <w:r w:rsidR="003E77D8" w:rsidRPr="004D6D00">
          <w:rPr>
            <w:rStyle w:val="a5"/>
            <w:rFonts w:ascii="Times New Roman" w:hAnsi="Times New Roman" w:cs="Times New Roman"/>
            <w:color w:val="auto"/>
            <w:sz w:val="28"/>
            <w:szCs w:val="28"/>
            <w:u w:val="none"/>
            <w:lang w:val="en-US"/>
          </w:rPr>
          <w:t>koren</w:t>
        </w:r>
        <w:r w:rsidR="003E77D8" w:rsidRPr="004D6D00">
          <w:rPr>
            <w:rStyle w:val="a5"/>
            <w:rFonts w:ascii="Times New Roman" w:hAnsi="Times New Roman" w:cs="Times New Roman"/>
            <w:color w:val="auto"/>
            <w:sz w:val="28"/>
            <w:szCs w:val="28"/>
            <w:u w:val="none"/>
          </w:rPr>
          <w:t>@</w:t>
        </w:r>
        <w:r w:rsidR="003E77D8" w:rsidRPr="004D6D00">
          <w:rPr>
            <w:rStyle w:val="a5"/>
            <w:rFonts w:ascii="Times New Roman" w:hAnsi="Times New Roman" w:cs="Times New Roman"/>
            <w:color w:val="auto"/>
            <w:sz w:val="28"/>
            <w:szCs w:val="28"/>
            <w:u w:val="none"/>
            <w:lang w:val="en-US"/>
          </w:rPr>
          <w:t>m</w:t>
        </w:r>
        <w:r w:rsidR="003E77D8" w:rsidRPr="004D6D00">
          <w:rPr>
            <w:rStyle w:val="a5"/>
            <w:rFonts w:ascii="Times New Roman" w:hAnsi="Times New Roman" w:cs="Times New Roman"/>
            <w:color w:val="auto"/>
            <w:sz w:val="28"/>
            <w:szCs w:val="28"/>
            <w:u w:val="none"/>
          </w:rPr>
          <w:t>.</w:t>
        </w:r>
        <w:r w:rsidR="003E77D8" w:rsidRPr="004D6D00">
          <w:rPr>
            <w:rStyle w:val="a5"/>
            <w:rFonts w:ascii="Times New Roman" w:hAnsi="Times New Roman" w:cs="Times New Roman"/>
            <w:color w:val="auto"/>
            <w:sz w:val="28"/>
            <w:szCs w:val="28"/>
            <w:u w:val="none"/>
            <w:lang w:val="en-US"/>
          </w:rPr>
          <w:t>msu</w:t>
        </w:r>
        <w:r w:rsidR="003E77D8" w:rsidRPr="004D6D00">
          <w:rPr>
            <w:rStyle w:val="a5"/>
            <w:rFonts w:ascii="Times New Roman" w:hAnsi="Times New Roman" w:cs="Times New Roman"/>
            <w:color w:val="auto"/>
            <w:sz w:val="28"/>
            <w:szCs w:val="28"/>
            <w:u w:val="none"/>
          </w:rPr>
          <w:t>.</w:t>
        </w:r>
        <w:r w:rsidR="003E77D8" w:rsidRPr="004D6D00">
          <w:rPr>
            <w:rStyle w:val="a5"/>
            <w:rFonts w:ascii="Times New Roman" w:hAnsi="Times New Roman" w:cs="Times New Roman"/>
            <w:color w:val="auto"/>
            <w:sz w:val="28"/>
            <w:szCs w:val="28"/>
            <w:u w:val="none"/>
            <w:lang w:val="en-US"/>
          </w:rPr>
          <w:t>by</w:t>
        </w:r>
      </w:hyperlink>
    </w:p>
    <w:p w:rsidR="003E77D8" w:rsidRPr="00B644BF" w:rsidRDefault="003E77D8" w:rsidP="004D6D00">
      <w:pPr>
        <w:spacing w:after="0" w:line="240" w:lineRule="auto"/>
        <w:ind w:firstLine="709"/>
        <w:jc w:val="center"/>
        <w:rPr>
          <w:rFonts w:ascii="Times New Roman" w:hAnsi="Times New Roman" w:cs="Times New Roman"/>
          <w:sz w:val="28"/>
          <w:szCs w:val="28"/>
        </w:rPr>
      </w:pPr>
    </w:p>
    <w:p w:rsidR="003E77D8" w:rsidRPr="00B644BF" w:rsidRDefault="003E77D8" w:rsidP="004D6D00">
      <w:pPr>
        <w:spacing w:after="0" w:line="240" w:lineRule="auto"/>
        <w:ind w:firstLine="709"/>
        <w:jc w:val="both"/>
        <w:rPr>
          <w:rFonts w:ascii="Times New Roman" w:hAnsi="Times New Roman" w:cs="Times New Roman"/>
          <w:sz w:val="24"/>
          <w:szCs w:val="24"/>
        </w:rPr>
      </w:pPr>
      <w:r w:rsidRPr="00B644BF">
        <w:rPr>
          <w:rFonts w:ascii="Times New Roman" w:hAnsi="Times New Roman" w:cs="Times New Roman"/>
          <w:b/>
          <w:sz w:val="24"/>
          <w:szCs w:val="24"/>
        </w:rPr>
        <w:t>Аннотация</w:t>
      </w:r>
      <w:r w:rsidRPr="00B644BF">
        <w:rPr>
          <w:rFonts w:ascii="Times New Roman" w:hAnsi="Times New Roman" w:cs="Times New Roman"/>
          <w:sz w:val="24"/>
          <w:szCs w:val="24"/>
        </w:rPr>
        <w:t>. В статье охарактеризованы тенденций современного развития правового регулирования банкротства в Китае, в том числе на примере пилотного проекта в специальной экономической зоне Шэньчжэня</w:t>
      </w:r>
      <w:r w:rsidR="006A0820">
        <w:rPr>
          <w:rFonts w:ascii="Times New Roman" w:hAnsi="Times New Roman" w:cs="Times New Roman"/>
          <w:sz w:val="24"/>
          <w:szCs w:val="24"/>
        </w:rPr>
        <w:t>.</w:t>
      </w:r>
    </w:p>
    <w:p w:rsidR="003E77D8" w:rsidRPr="00B644BF" w:rsidRDefault="003E77D8" w:rsidP="004D6D00">
      <w:pPr>
        <w:spacing w:after="0" w:line="240" w:lineRule="auto"/>
        <w:ind w:firstLine="709"/>
        <w:jc w:val="both"/>
        <w:rPr>
          <w:rFonts w:ascii="Times New Roman" w:hAnsi="Times New Roman" w:cs="Times New Roman"/>
          <w:bCs/>
          <w:sz w:val="24"/>
          <w:szCs w:val="24"/>
        </w:rPr>
      </w:pPr>
      <w:r w:rsidRPr="00B644BF">
        <w:rPr>
          <w:rFonts w:ascii="Times New Roman" w:hAnsi="Times New Roman" w:cs="Times New Roman"/>
          <w:b/>
          <w:sz w:val="24"/>
          <w:szCs w:val="24"/>
        </w:rPr>
        <w:t xml:space="preserve">Ключевые слова. </w:t>
      </w:r>
      <w:r w:rsidRPr="00B644BF">
        <w:rPr>
          <w:rFonts w:ascii="Times New Roman" w:hAnsi="Times New Roman" w:cs="Times New Roman"/>
          <w:bCs/>
          <w:sz w:val="24"/>
          <w:szCs w:val="24"/>
        </w:rPr>
        <w:t>Банкротство, правовое регулирование, специализированные суды по банкротству, пилот</w:t>
      </w:r>
      <w:r w:rsidR="006A0820">
        <w:rPr>
          <w:rFonts w:ascii="Times New Roman" w:hAnsi="Times New Roman" w:cs="Times New Roman"/>
          <w:bCs/>
          <w:sz w:val="24"/>
          <w:szCs w:val="24"/>
        </w:rPr>
        <w:t>ные проекты, личное банкротство.</w:t>
      </w:r>
    </w:p>
    <w:p w:rsidR="003E77D8" w:rsidRPr="00B644BF" w:rsidRDefault="003E77D8" w:rsidP="004D6D00">
      <w:pPr>
        <w:spacing w:after="0" w:line="240" w:lineRule="auto"/>
        <w:ind w:firstLine="709"/>
        <w:jc w:val="both"/>
        <w:rPr>
          <w:rFonts w:ascii="Times New Roman" w:hAnsi="Times New Roman" w:cs="Times New Roman"/>
          <w:bCs/>
          <w:sz w:val="24"/>
          <w:szCs w:val="24"/>
        </w:rPr>
      </w:pPr>
    </w:p>
    <w:p w:rsidR="003E77D8" w:rsidRPr="00B644BF" w:rsidRDefault="003E77D8" w:rsidP="004D6D00">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В КНР с 2006 года вопросы производства по делам о банкротстве, его процедуры и стадии регулируются законом «О банкротстве предприятий» (далее – Закон) [4]. Последние данные Верховного </w:t>
      </w:r>
      <w:r w:rsidRPr="00B644BF">
        <w:rPr>
          <w:rFonts w:ascii="Times New Roman" w:hAnsi="Times New Roman" w:cs="Times New Roman"/>
          <w:sz w:val="28"/>
          <w:szCs w:val="28"/>
        </w:rPr>
        <w:lastRenderedPageBreak/>
        <w:t xml:space="preserve">народного суда, опубликованные в начале 2026 года, свидетельствуют об увеличении масштабов неплатежеспособности. Так, согласно отчету о работе Верховного народного суда за 2025 год, в 2025 году суды по всей стране рассмотрели почти 45 000 заявлений о банкротстве — на 7,3% больше, чем в предыдущем году, — и приняли к рассмотрению около 37 000 дел. Они помогли погасить долг примерно на 4 трлн юаней, оживить активы на 1,16 трлн юаней и сохранить более 120 000 рабочих мест [5]. Как и в других странах законодательство о банкротстве в Китае динамично развивается в сторону поиска оптимального механизма финансового оздоровления компаний и ликвидации предприятий-«зомби» в контексте устойчивого развития. </w:t>
      </w:r>
    </w:p>
    <w:p w:rsidR="003E77D8" w:rsidRPr="00B644BF" w:rsidRDefault="003E77D8" w:rsidP="004D6D00">
      <w:pPr>
        <w:shd w:val="clear" w:color="auto" w:fill="FFFFFF"/>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Придерживаясь хронологического изложения материала, в первую очередь, обратим внимание на опыт Китая в решении вопроса повышении качества правосудия по делам рассматриваемой категории и специализации судов. В конце 2018 г. – начале 2019 года в Шэньчжэне, Пекине и Шанхае последовательно были созданы суды по делам о банкротстве, что высшими должностными лицами Верховного народного суда КНР расценивается как знаковое событие, имеющее сильный демонстрационный эффект, позитивно влияющее на процесс профессионализации судебных разбирательств по делам о банкротстве по всей стране [3]. Со специализированными судами и растущим судебным опытом банкротство в КНР все чаще рассматривается не как «последнее средство», а как законный инструмент спасения предприятия и очищения рынка.</w:t>
      </w:r>
    </w:p>
    <w:p w:rsidR="003E77D8" w:rsidRPr="00B644BF" w:rsidRDefault="003E77D8" w:rsidP="004D6D00">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Во-вторых, остановимся на банкротстве граждан. В Китае, как и в Беларуси, отсутствует система личного банкротства, что отличает его от крупных экономик и, по мнению зарубежных ученых, может сдерживать предпринимательство. 01.03.2021 года запущен пилотный проект по банкротству физических лиц в специальной экономической зоне Шэньчжэне, который сделал первый шаг к устранению этого пробела. </w:t>
      </w:r>
      <w:r w:rsidRPr="00B644BF">
        <w:rPr>
          <w:rFonts w:ascii="Times New Roman" w:eastAsia="Microsoft YaHei" w:hAnsi="Times New Roman" w:cs="Times New Roman"/>
          <w:sz w:val="28"/>
          <w:szCs w:val="28"/>
        </w:rPr>
        <w:t xml:space="preserve">«Шэньчжэньская модель» рассмотрения дел о личном банкротстве постоянно совершенствуется, одновременно с анализом дел и обобщением судебной практики. Благодаря институциональным нормам, достижения реформы закрепляются, формируя воспроизводимый и масштабируемый опыт Шэньчжэня. Чэнь Сяхун, научный сотрудник Центра исследований в области права банкротства и реорганизации корпораций Китайского университета политических наук и права, отметил, что «прорыв системы личного банкротства в Шэньчжэне служит ориентиром для построения общенациональной системы» </w:t>
      </w:r>
      <w:r w:rsidRPr="00B644BF">
        <w:rPr>
          <w:rFonts w:ascii="Times New Roman" w:hAnsi="Times New Roman" w:cs="Times New Roman"/>
          <w:sz w:val="28"/>
          <w:szCs w:val="28"/>
        </w:rPr>
        <w:t>[1].</w:t>
      </w:r>
    </w:p>
    <w:p w:rsidR="003E77D8" w:rsidRPr="00B644BF" w:rsidRDefault="003E77D8" w:rsidP="004D6D00">
      <w:pPr>
        <w:spacing w:after="0" w:line="240" w:lineRule="auto"/>
        <w:ind w:firstLine="709"/>
        <w:jc w:val="both"/>
        <w:rPr>
          <w:rFonts w:ascii="Times New Roman" w:eastAsia="Microsoft YaHei" w:hAnsi="Times New Roman" w:cs="Times New Roman"/>
          <w:sz w:val="28"/>
          <w:szCs w:val="28"/>
        </w:rPr>
      </w:pPr>
      <w:r w:rsidRPr="00B644BF">
        <w:rPr>
          <w:rFonts w:ascii="Times New Roman" w:eastAsia="Microsoft YaHei" w:hAnsi="Times New Roman" w:cs="Times New Roman"/>
          <w:sz w:val="28"/>
          <w:szCs w:val="28"/>
        </w:rPr>
        <w:t>В Шэньчжэне внедрен новый механизм выбора управляющего – проведение нотариально заверенной лотереи по отбору управляющих по делам о банкротстве (три предпочтительных управляющих и три запасных) с трансляцией всего процесса в прямом эфире.</w:t>
      </w:r>
    </w:p>
    <w:p w:rsidR="003E77D8" w:rsidRPr="00B644BF" w:rsidRDefault="003E77D8" w:rsidP="004D6D00">
      <w:pPr>
        <w:spacing w:after="0" w:line="240" w:lineRule="auto"/>
        <w:ind w:firstLine="709"/>
        <w:jc w:val="both"/>
        <w:rPr>
          <w:rFonts w:ascii="Times New Roman" w:eastAsia="Microsoft YaHei" w:hAnsi="Times New Roman" w:cs="Times New Roman"/>
          <w:sz w:val="28"/>
          <w:szCs w:val="28"/>
        </w:rPr>
      </w:pPr>
      <w:r w:rsidRPr="00B644BF">
        <w:rPr>
          <w:rFonts w:ascii="Times New Roman" w:eastAsia="Microsoft YaHei" w:hAnsi="Times New Roman" w:cs="Times New Roman"/>
          <w:sz w:val="28"/>
          <w:szCs w:val="28"/>
        </w:rPr>
        <w:lastRenderedPageBreak/>
        <w:t>С середины 2021 года Шэньчжэньский народный суд совместно с государственными органами учредил своим постановлением первый в Китае комплексный механизм обмена и публичного раскрытия информации о банкротстве и кредитной истории предприятий и физических лиц, сосредоточив внимание на информации о судебных процессах по делам о банкротстве, кредитной информации должников и информации о процедурах банкротства, для эффективного, оперативного и точного раскрытия информации о выходе предприятий и физических лиц с рынка.</w:t>
      </w:r>
    </w:p>
    <w:p w:rsidR="003E77D8" w:rsidRPr="00B644BF" w:rsidRDefault="003E77D8" w:rsidP="004D6D00">
      <w:pPr>
        <w:shd w:val="clear" w:color="auto" w:fill="FFFFFF"/>
        <w:spacing w:after="0" w:line="240" w:lineRule="auto"/>
        <w:ind w:firstLine="709"/>
        <w:jc w:val="both"/>
        <w:rPr>
          <w:rFonts w:ascii="Times New Roman" w:eastAsia="Microsoft YaHei" w:hAnsi="Times New Roman" w:cs="Times New Roman"/>
          <w:sz w:val="28"/>
          <w:szCs w:val="28"/>
        </w:rPr>
      </w:pPr>
      <w:r w:rsidRPr="00B644BF">
        <w:rPr>
          <w:rFonts w:ascii="Times New Roman" w:hAnsi="Times New Roman" w:cs="Times New Roman"/>
          <w:sz w:val="28"/>
          <w:szCs w:val="28"/>
        </w:rPr>
        <w:tab/>
      </w:r>
      <w:r w:rsidRPr="00B644BF">
        <w:rPr>
          <w:rFonts w:ascii="Times New Roman" w:eastAsia="Microsoft YaHei" w:hAnsi="Times New Roman" w:cs="Times New Roman"/>
          <w:sz w:val="28"/>
          <w:szCs w:val="28"/>
        </w:rPr>
        <w:t xml:space="preserve">17 мая 2022 года Шэньчжэньский суд по делам о банкротстве издал «Постановление об усилении работы по рассмотрению и урегулированию заявлений о личном банкротстве», целью которого является регулирование заявлений о личном банкротстве и предотвращение мошенничества при банкротстве. Система личного банкротства в Китае предоставляет помощь «честным, но оказавшимся в затруднительном положении» должникам, она также имеет важное значение для предотвращения мошенничества при личном банкротстве и избежания злоупотреблений в рамках этой процедуры. Согласно официальной точке зрения в Шэньчжэне внедрен всесторонний механизм борьбы с мошенничеством при банкротстве, начиная с законодательной базы и судебной практики и заканчивая вспомогательными системами. Приведенные новеллы применяются в отдельном регионе. </w:t>
      </w:r>
    </w:p>
    <w:p w:rsidR="003E77D8" w:rsidRPr="00B644BF" w:rsidRDefault="003E77D8" w:rsidP="004D6D00">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В настоящее время разрабатывается новая редакция Закона. Проект, опубликованный для комментариев в сентябре 2025 года, является самым объемным изменением с 2006 года, увеличивающим закон с 12 глав до 16 и со 136 статей до 216 [6]. </w:t>
      </w:r>
    </w:p>
    <w:p w:rsidR="003E77D8" w:rsidRPr="00B644BF" w:rsidRDefault="003E77D8" w:rsidP="004D6D00">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Проведенное нами исследование позволило сформулировать следующие тенденции правового регулирования банкротства в Китае:</w:t>
      </w:r>
    </w:p>
    <w:p w:rsidR="003E77D8" w:rsidRPr="00B644BF" w:rsidRDefault="003E77D8" w:rsidP="004D6D00">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введение в масштабах всей страны «эпизодического» банкротства физических лиц (для акционеров, несущих солидарную ответственность по корпоративным долгам) при сохранении общего ограничения применения Закона “корпоративными юридическими лицами”, определенными Гражданским кодексом КНР, первым кодифицированным актом Китая [2];</w:t>
      </w:r>
    </w:p>
    <w:p w:rsidR="003E77D8" w:rsidRPr="00B644BF" w:rsidRDefault="003E77D8" w:rsidP="004D6D00">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урегулирование  трансграничной несостоятельности;</w:t>
      </w:r>
    </w:p>
    <w:p w:rsidR="003E77D8" w:rsidRPr="00B644BF" w:rsidRDefault="003E77D8" w:rsidP="004D6D00">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расширение специального правового регулирования отдельных категорий должников и ведение новых глав о банкротстве малых и микропредприятий, о предпринимательских группах, о финансовых институтах;</w:t>
      </w:r>
    </w:p>
    <w:p w:rsidR="003E77D8" w:rsidRPr="00B644BF" w:rsidRDefault="003E77D8" w:rsidP="004D6D00">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введение упрощенных процедур с более короткими сроками и презумпции в пользу должника, находящегося во владении, для малых предприятий;</w:t>
      </w:r>
    </w:p>
    <w:p w:rsidR="003E77D8" w:rsidRPr="00B644BF" w:rsidRDefault="003E77D8" w:rsidP="004D6D00">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оптимизация процесса за счет введения единоличного судебного разбирательства по делам о банкротстве отдельных категорий должников;</w:t>
      </w:r>
    </w:p>
    <w:p w:rsidR="003E77D8" w:rsidRPr="00B644BF" w:rsidRDefault="003E77D8" w:rsidP="004D6D00">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lastRenderedPageBreak/>
        <w:t>сохранение жесткого судебного надзора по делам о банкротстве. В отличие от систем, где ведущую роль играют управляющие, комитеты кредиторов, государственные органы исполнительной власти, китайское законодательство закрепляет повсеместный контроль судов: суд решает, принимать ли дело к рассмотрению; назначает администратора / управляющего и осуществляет надзор за ним; разрешает споры о претензиях; подтверждает планы реорганизации; выносит окончательное постановление о прекращении производства и др. Сохранение сильной судебную роли объясняется как традицией гражданского права, так и требованиями переходной экономики, где надзор гарантирует от злоупотреблений.</w:t>
      </w:r>
    </w:p>
    <w:p w:rsidR="003E77D8" w:rsidRPr="00B644BF" w:rsidRDefault="003E77D8" w:rsidP="004D6D00">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В заключении отметим, что выявленные тенденции в правовом регулировании отношений, возникающих  в связи  с устойчивой неплатежеспособностью, в Китае в части соответствуют мировым тенденциям при этом сохраняют и ряд национальных особенностей. Опыт Китая в части пилотных проектов в отдельных регионах и специализации судов может быть использован в Беларуси.</w:t>
      </w:r>
    </w:p>
    <w:p w:rsidR="003E77D8" w:rsidRPr="00B644BF" w:rsidRDefault="003E77D8" w:rsidP="004D6D00">
      <w:pPr>
        <w:spacing w:after="0" w:line="240" w:lineRule="auto"/>
        <w:ind w:firstLine="709"/>
        <w:jc w:val="both"/>
        <w:rPr>
          <w:rFonts w:ascii="Times New Roman" w:hAnsi="Times New Roman" w:cs="Times New Roman"/>
          <w:sz w:val="28"/>
          <w:szCs w:val="28"/>
        </w:rPr>
      </w:pPr>
    </w:p>
    <w:p w:rsidR="003E77D8" w:rsidRPr="006A0820" w:rsidRDefault="003E77D8" w:rsidP="004D6D00">
      <w:pPr>
        <w:spacing w:after="0" w:line="240" w:lineRule="auto"/>
        <w:ind w:firstLine="709"/>
        <w:jc w:val="center"/>
        <w:rPr>
          <w:rFonts w:ascii="Times New Roman" w:hAnsi="Times New Roman" w:cs="Times New Roman"/>
          <w:sz w:val="28"/>
          <w:szCs w:val="28"/>
        </w:rPr>
      </w:pPr>
      <w:r w:rsidRPr="006A0820">
        <w:rPr>
          <w:rFonts w:ascii="Times New Roman" w:hAnsi="Times New Roman" w:cs="Times New Roman"/>
          <w:b/>
          <w:sz w:val="28"/>
          <w:szCs w:val="28"/>
        </w:rPr>
        <w:t>Список литературы</w:t>
      </w:r>
    </w:p>
    <w:p w:rsidR="003E77D8" w:rsidRPr="00B644BF" w:rsidRDefault="003E77D8" w:rsidP="004D6D00">
      <w:pPr>
        <w:pStyle w:val="1"/>
        <w:spacing w:before="0" w:line="240" w:lineRule="auto"/>
        <w:ind w:firstLine="709"/>
        <w:jc w:val="both"/>
        <w:rPr>
          <w:rFonts w:ascii="Times New Roman" w:eastAsia="Microsoft YaHei" w:hAnsi="Times New Roman" w:cs="Times New Roman"/>
          <w:color w:val="auto"/>
          <w:sz w:val="24"/>
          <w:szCs w:val="24"/>
        </w:rPr>
      </w:pPr>
      <w:r w:rsidRPr="00B644BF">
        <w:rPr>
          <w:rFonts w:ascii="Times New Roman" w:eastAsia="Microsoft YaHei" w:hAnsi="Times New Roman" w:cs="Times New Roman"/>
          <w:color w:val="auto"/>
          <w:sz w:val="24"/>
          <w:szCs w:val="24"/>
        </w:rPr>
        <w:t>1. В Шэньчжэне принятые правила о банкротстве физических лиц установили ряд национальных рекордов</w:t>
      </w:r>
      <w:r w:rsidRPr="00B644BF">
        <w:rPr>
          <w:rFonts w:ascii="Times New Roman" w:eastAsia="Times New Roman" w:hAnsi="Times New Roman" w:cs="Times New Roman"/>
          <w:color w:val="auto"/>
          <w:sz w:val="24"/>
          <w:szCs w:val="24"/>
          <w:shd w:val="clear" w:color="auto" w:fill="FFFFFF"/>
        </w:rPr>
        <w:t xml:space="preserve"> // Главное управление муниципального народного правительства (на китайском языке). Дата размещения 01.03.2023. </w:t>
      </w:r>
      <w:r w:rsidRPr="00B644BF">
        <w:rPr>
          <w:rFonts w:ascii="Times New Roman" w:hAnsi="Times New Roman" w:cs="Times New Roman"/>
          <w:color w:val="auto"/>
          <w:sz w:val="24"/>
          <w:szCs w:val="24"/>
        </w:rPr>
        <w:t>Режим доступа</w:t>
      </w:r>
      <w:r w:rsidRPr="00B644BF">
        <w:rPr>
          <w:rFonts w:ascii="Times New Roman" w:hAnsi="Times New Roman" w:cs="Times New Roman"/>
          <w:color w:val="auto"/>
        </w:rPr>
        <w:t xml:space="preserve"> </w:t>
      </w:r>
      <w:r w:rsidRPr="00B644BF">
        <w:rPr>
          <w:rFonts w:ascii="Times New Roman" w:eastAsia="Times New Roman" w:hAnsi="Times New Roman" w:cs="Times New Roman"/>
          <w:color w:val="auto"/>
          <w:sz w:val="24"/>
          <w:szCs w:val="24"/>
          <w:shd w:val="clear" w:color="auto" w:fill="FFFFFF"/>
        </w:rPr>
        <w:t>https://www.sz.gov.cn/cn/xxgk/zfxxgj/zwdt/content/post_10452237.html</w:t>
      </w:r>
      <w:r w:rsidRPr="00B644BF">
        <w:rPr>
          <w:rFonts w:ascii="Times New Roman" w:eastAsia="Microsoft YaHei" w:hAnsi="Times New Roman" w:cs="Times New Roman"/>
          <w:b/>
          <w:bCs/>
          <w:color w:val="auto"/>
          <w:sz w:val="24"/>
          <w:szCs w:val="24"/>
        </w:rPr>
        <w:t xml:space="preserve">  </w:t>
      </w:r>
      <w:r w:rsidRPr="00B644BF">
        <w:rPr>
          <w:rFonts w:ascii="Times New Roman" w:eastAsia="Microsoft YaHei" w:hAnsi="Times New Roman" w:cs="Times New Roman"/>
          <w:color w:val="auto"/>
          <w:sz w:val="24"/>
          <w:szCs w:val="24"/>
        </w:rPr>
        <w:t>Дата доступа 01.05.2026</w:t>
      </w:r>
    </w:p>
    <w:p w:rsidR="003E77D8" w:rsidRPr="00B644BF" w:rsidRDefault="003E77D8" w:rsidP="004D6D00">
      <w:pPr>
        <w:pStyle w:val="1"/>
        <w:spacing w:before="0" w:line="240" w:lineRule="auto"/>
        <w:ind w:firstLine="709"/>
        <w:jc w:val="both"/>
        <w:rPr>
          <w:rFonts w:ascii="Times New Roman" w:eastAsia="Microsoft YaHei" w:hAnsi="Times New Roman" w:cs="Times New Roman"/>
          <w:color w:val="auto"/>
          <w:sz w:val="24"/>
          <w:szCs w:val="24"/>
        </w:rPr>
      </w:pPr>
      <w:r w:rsidRPr="00B644BF">
        <w:rPr>
          <w:rFonts w:ascii="Times New Roman" w:eastAsia="Times New Roman" w:hAnsi="Times New Roman" w:cs="Times New Roman"/>
          <w:color w:val="auto"/>
          <w:sz w:val="24"/>
          <w:szCs w:val="24"/>
          <w:shd w:val="clear" w:color="auto" w:fill="FFFFFF"/>
        </w:rPr>
        <w:t xml:space="preserve">2.Гражданский кодекс Китайской Народной Республики. Принят 28 мая 2020 г., вступил в силу с 1 января 2021 г. (на русском языке) /Отв. ред. перевода Ван Чжихуа. М., Проспект. </w:t>
      </w:r>
      <w:r w:rsidRPr="00B644BF">
        <w:rPr>
          <w:rFonts w:ascii="Times New Roman" w:hAnsi="Times New Roman" w:cs="Times New Roman"/>
          <w:color w:val="auto"/>
          <w:sz w:val="24"/>
          <w:szCs w:val="24"/>
        </w:rPr>
        <w:t>Режим доступа</w:t>
      </w:r>
      <w:r w:rsidRPr="00B644BF">
        <w:rPr>
          <w:rFonts w:ascii="Times New Roman" w:hAnsi="Times New Roman" w:cs="Times New Roman"/>
          <w:color w:val="auto"/>
        </w:rPr>
        <w:t xml:space="preserve"> </w:t>
      </w:r>
      <w:hyperlink r:id="rId11" w:history="1">
        <w:r w:rsidRPr="00B644BF">
          <w:rPr>
            <w:rStyle w:val="a5"/>
            <w:rFonts w:ascii="Times New Roman" w:eastAsia="Times New Roman" w:hAnsi="Times New Roman" w:cs="Times New Roman"/>
            <w:color w:val="auto"/>
            <w:sz w:val="24"/>
            <w:szCs w:val="24"/>
            <w:shd w:val="clear" w:color="auto" w:fill="FFFFFF"/>
          </w:rPr>
          <w:t>https://books.yandex.ru/books/AlsehTfK</w:t>
        </w:r>
      </w:hyperlink>
      <w:r w:rsidRPr="00B644BF">
        <w:rPr>
          <w:rFonts w:ascii="Times New Roman" w:eastAsia="Times New Roman" w:hAnsi="Times New Roman" w:cs="Times New Roman"/>
          <w:color w:val="auto"/>
          <w:sz w:val="24"/>
          <w:szCs w:val="24"/>
          <w:shd w:val="clear" w:color="auto" w:fill="FFFFFF"/>
        </w:rPr>
        <w:t xml:space="preserve"> </w:t>
      </w:r>
      <w:r w:rsidRPr="00B644BF">
        <w:rPr>
          <w:rFonts w:ascii="Times New Roman" w:eastAsia="Microsoft YaHei" w:hAnsi="Times New Roman" w:cs="Times New Roman"/>
          <w:color w:val="auto"/>
          <w:sz w:val="24"/>
          <w:szCs w:val="24"/>
        </w:rPr>
        <w:t>Дата доступа 01.05.2026</w:t>
      </w:r>
    </w:p>
    <w:p w:rsidR="003E77D8" w:rsidRPr="00B644BF" w:rsidRDefault="003E77D8" w:rsidP="004D6D00">
      <w:pPr>
        <w:pStyle w:val="1"/>
        <w:spacing w:before="0" w:line="240" w:lineRule="auto"/>
        <w:ind w:firstLine="709"/>
        <w:jc w:val="both"/>
        <w:rPr>
          <w:rFonts w:ascii="Times New Roman" w:eastAsia="Microsoft YaHei" w:hAnsi="Times New Roman" w:cs="Times New Roman"/>
          <w:color w:val="auto"/>
          <w:sz w:val="24"/>
          <w:szCs w:val="24"/>
        </w:rPr>
      </w:pPr>
      <w:r w:rsidRPr="00B644BF">
        <w:rPr>
          <w:rFonts w:ascii="Times New Roman" w:hAnsi="Times New Roman" w:cs="Times New Roman"/>
          <w:color w:val="auto"/>
          <w:sz w:val="24"/>
          <w:szCs w:val="24"/>
        </w:rPr>
        <w:t xml:space="preserve">3. Ду Ваньхуа  Создание судов по делам о банкротстве в Шэньчжэне, Пекине и Шанхае имеет знаковое значение. Выступление заместителя председателя Консультативного комитета Верховного народного суда // Официальный сайт  Верховного народного суд Китая. Режим доступа </w:t>
      </w:r>
      <w:hyperlink r:id="rId12" w:history="1">
        <w:r w:rsidRPr="00B644BF">
          <w:rPr>
            <w:rStyle w:val="a5"/>
            <w:rFonts w:ascii="Times New Roman" w:hAnsi="Times New Roman" w:cs="Times New Roman"/>
            <w:color w:val="auto"/>
            <w:sz w:val="24"/>
            <w:szCs w:val="24"/>
          </w:rPr>
          <w:t>https://www.court.gov.cn/zixun/xiangqing/147292.html</w:t>
        </w:r>
      </w:hyperlink>
      <w:r w:rsidRPr="00B644BF">
        <w:rPr>
          <w:rFonts w:ascii="Times New Roman" w:hAnsi="Times New Roman" w:cs="Times New Roman"/>
          <w:color w:val="auto"/>
          <w:sz w:val="24"/>
          <w:szCs w:val="24"/>
        </w:rPr>
        <w:t xml:space="preserve"> </w:t>
      </w:r>
      <w:r w:rsidRPr="00B644BF">
        <w:rPr>
          <w:rFonts w:ascii="Times New Roman" w:eastAsia="Microsoft YaHei" w:hAnsi="Times New Roman" w:cs="Times New Roman"/>
          <w:color w:val="auto"/>
          <w:sz w:val="24"/>
          <w:szCs w:val="24"/>
        </w:rPr>
        <w:t>Дата доступа 01.05.2026</w:t>
      </w:r>
    </w:p>
    <w:p w:rsidR="003E77D8" w:rsidRPr="00B644BF" w:rsidRDefault="003E77D8" w:rsidP="004D6D00">
      <w:pPr>
        <w:pStyle w:val="1"/>
        <w:spacing w:before="0" w:line="240" w:lineRule="auto"/>
        <w:ind w:firstLine="709"/>
        <w:jc w:val="both"/>
        <w:rPr>
          <w:rFonts w:ascii="Times New Roman" w:eastAsia="Microsoft YaHei" w:hAnsi="Times New Roman" w:cs="Times New Roman"/>
          <w:color w:val="auto"/>
          <w:sz w:val="24"/>
          <w:szCs w:val="24"/>
        </w:rPr>
      </w:pPr>
      <w:r w:rsidRPr="00B644BF">
        <w:rPr>
          <w:rFonts w:ascii="Times New Roman" w:eastAsia="Times New Roman" w:hAnsi="Times New Roman" w:cs="Times New Roman"/>
          <w:color w:val="auto"/>
          <w:sz w:val="24"/>
          <w:szCs w:val="24"/>
        </w:rPr>
        <w:t xml:space="preserve">4.О банкротстве предприятий: Закон КНР. Принят на 23-м заседании Постоянного комитета Всекитайского собрания народных представителей 10-го созыва 27 августа 2006 ). </w:t>
      </w:r>
      <w:r w:rsidRPr="00B644BF">
        <w:rPr>
          <w:rFonts w:ascii="Times New Roman" w:hAnsi="Times New Roman" w:cs="Times New Roman"/>
          <w:color w:val="auto"/>
          <w:sz w:val="24"/>
          <w:szCs w:val="24"/>
        </w:rPr>
        <w:t>Режим доступа</w:t>
      </w:r>
      <w:r w:rsidRPr="00B644BF">
        <w:rPr>
          <w:rFonts w:ascii="Times New Roman" w:eastAsia="Times New Roman" w:hAnsi="Times New Roman" w:cs="Times New Roman"/>
          <w:color w:val="auto"/>
          <w:sz w:val="24"/>
          <w:szCs w:val="24"/>
        </w:rPr>
        <w:t xml:space="preserve"> </w:t>
      </w:r>
      <w:hyperlink r:id="rId13" w:history="1">
        <w:r w:rsidRPr="00B644BF">
          <w:rPr>
            <w:rStyle w:val="a5"/>
            <w:rFonts w:ascii="Times New Roman" w:hAnsi="Times New Roman" w:cs="Times New Roman"/>
            <w:color w:val="auto"/>
            <w:sz w:val="24"/>
            <w:szCs w:val="24"/>
          </w:rPr>
          <w:t>https://chinalawinfo.ru/economic_law/law_enterprise_bankruptcy</w:t>
        </w:r>
      </w:hyperlink>
      <w:r w:rsidRPr="00B644BF">
        <w:rPr>
          <w:rFonts w:ascii="Times New Roman" w:hAnsi="Times New Roman" w:cs="Times New Roman"/>
          <w:color w:val="auto"/>
          <w:sz w:val="24"/>
          <w:szCs w:val="24"/>
        </w:rPr>
        <w:t xml:space="preserve"> </w:t>
      </w:r>
      <w:r w:rsidRPr="00B644BF">
        <w:rPr>
          <w:rFonts w:ascii="Times New Roman" w:eastAsia="Microsoft YaHei" w:hAnsi="Times New Roman" w:cs="Times New Roman"/>
          <w:color w:val="auto"/>
          <w:sz w:val="24"/>
          <w:szCs w:val="24"/>
        </w:rPr>
        <w:t>Дата доступа 01.05.2026</w:t>
      </w:r>
    </w:p>
    <w:p w:rsidR="003E77D8" w:rsidRPr="00B644BF" w:rsidRDefault="003E77D8" w:rsidP="004D6D00">
      <w:pPr>
        <w:pStyle w:val="1"/>
        <w:spacing w:before="0" w:line="240" w:lineRule="auto"/>
        <w:ind w:firstLine="709"/>
        <w:jc w:val="both"/>
        <w:rPr>
          <w:rFonts w:ascii="Times New Roman" w:eastAsia="Microsoft YaHei" w:hAnsi="Times New Roman" w:cs="Times New Roman"/>
          <w:color w:val="auto"/>
          <w:sz w:val="24"/>
          <w:szCs w:val="24"/>
        </w:rPr>
      </w:pPr>
      <w:r w:rsidRPr="00B644BF">
        <w:rPr>
          <w:rFonts w:ascii="Times New Roman" w:hAnsi="Times New Roman" w:cs="Times New Roman"/>
          <w:color w:val="auto"/>
          <w:sz w:val="24"/>
          <w:szCs w:val="24"/>
        </w:rPr>
        <w:t>5.Основные моменты отчета Верховного народного суда КНР за 2025 год  // Официальный сайт  Верховного народного суд Китая (англоязычная версия). Режим доступа</w:t>
      </w:r>
      <w:r w:rsidRPr="00B644BF">
        <w:rPr>
          <w:rFonts w:ascii="Times New Roman" w:hAnsi="Times New Roman" w:cs="Times New Roman"/>
          <w:color w:val="auto"/>
        </w:rPr>
        <w:t xml:space="preserve"> </w:t>
      </w:r>
      <w:hyperlink r:id="rId14" w:history="1">
        <w:r w:rsidRPr="00B644BF">
          <w:rPr>
            <w:rStyle w:val="a5"/>
            <w:rFonts w:ascii="Times New Roman" w:hAnsi="Times New Roman" w:cs="Times New Roman"/>
            <w:color w:val="auto"/>
            <w:sz w:val="24"/>
            <w:szCs w:val="24"/>
          </w:rPr>
          <w:t>https://english.court.gov.cn/2026-03/18/c_1169365.htm</w:t>
        </w:r>
      </w:hyperlink>
      <w:r w:rsidRPr="00B644BF">
        <w:rPr>
          <w:rStyle w:val="a5"/>
          <w:rFonts w:ascii="Times New Roman" w:hAnsi="Times New Roman" w:cs="Times New Roman"/>
          <w:color w:val="auto"/>
          <w:sz w:val="24"/>
          <w:szCs w:val="24"/>
        </w:rPr>
        <w:t xml:space="preserve"> </w:t>
      </w:r>
      <w:r w:rsidRPr="00B644BF">
        <w:rPr>
          <w:rFonts w:ascii="Times New Roman" w:eastAsia="Microsoft YaHei" w:hAnsi="Times New Roman" w:cs="Times New Roman"/>
          <w:color w:val="auto"/>
          <w:sz w:val="24"/>
          <w:szCs w:val="24"/>
        </w:rPr>
        <w:t>Дата доступа 01.05.2026</w:t>
      </w:r>
    </w:p>
    <w:p w:rsidR="003E77D8" w:rsidRPr="00B644BF" w:rsidRDefault="003E77D8" w:rsidP="004D6D00">
      <w:pPr>
        <w:pStyle w:val="1"/>
        <w:spacing w:before="0" w:line="240" w:lineRule="auto"/>
        <w:ind w:firstLine="709"/>
        <w:jc w:val="both"/>
        <w:rPr>
          <w:rFonts w:ascii="Times New Roman" w:eastAsia="Microsoft YaHei" w:hAnsi="Times New Roman" w:cs="Times New Roman"/>
          <w:color w:val="auto"/>
          <w:sz w:val="24"/>
          <w:szCs w:val="24"/>
        </w:rPr>
      </w:pPr>
      <w:r w:rsidRPr="00B644BF">
        <w:rPr>
          <w:rFonts w:ascii="Times New Roman" w:eastAsia="Microsoft YaHei" w:hAnsi="Times New Roman" w:cs="Times New Roman"/>
          <w:color w:val="auto"/>
          <w:sz w:val="24"/>
          <w:szCs w:val="24"/>
        </w:rPr>
        <w:t xml:space="preserve">6.Проект пересмотренного Закона о банкротстве предприятий Китайской Народной Республики открыт для общественного обсуждения. Текст. Пояснения к проекту поправок // Официальный </w:t>
      </w:r>
      <w:r w:rsidRPr="00B644BF">
        <w:rPr>
          <w:rStyle w:val="publishedtime"/>
          <w:rFonts w:ascii="Times New Roman" w:eastAsia="Microsoft YaHei" w:hAnsi="Times New Roman" w:cs="Times New Roman"/>
          <w:color w:val="auto"/>
          <w:sz w:val="24"/>
          <w:szCs w:val="24"/>
        </w:rPr>
        <w:t xml:space="preserve">сайт государственных услуг (на китайском языке). Дата выхода: 22 сентября 2025 года. </w:t>
      </w:r>
      <w:r w:rsidRPr="00B644BF">
        <w:rPr>
          <w:rFonts w:ascii="Times New Roman" w:hAnsi="Times New Roman" w:cs="Times New Roman"/>
          <w:color w:val="auto"/>
          <w:sz w:val="24"/>
          <w:szCs w:val="24"/>
        </w:rPr>
        <w:t>Режим доступа</w:t>
      </w:r>
      <w:r w:rsidRPr="00B644BF">
        <w:rPr>
          <w:rStyle w:val="publishedtime"/>
          <w:rFonts w:ascii="Times New Roman" w:eastAsia="Microsoft YaHei" w:hAnsi="Times New Roman" w:cs="Times New Roman"/>
          <w:color w:val="auto"/>
          <w:sz w:val="24"/>
          <w:szCs w:val="24"/>
        </w:rPr>
        <w:t xml:space="preserve">  https://www.lg.gov.cn/bmzz/lgjdb/xxgk/qt/jcrd/cylf/content/post_12406939.html </w:t>
      </w:r>
      <w:r w:rsidRPr="00B644BF">
        <w:rPr>
          <w:rFonts w:ascii="Times New Roman" w:eastAsia="Microsoft YaHei" w:hAnsi="Times New Roman" w:cs="Times New Roman"/>
          <w:color w:val="auto"/>
          <w:sz w:val="24"/>
          <w:szCs w:val="24"/>
        </w:rPr>
        <w:t>Дата доступа 01.05.2026</w:t>
      </w:r>
    </w:p>
    <w:p w:rsidR="003E77D8" w:rsidRPr="00B644BF" w:rsidRDefault="003E77D8">
      <w:pPr>
        <w:rPr>
          <w:rFonts w:ascii="Times New Roman" w:eastAsia="Microsoft YaHei" w:hAnsi="Times New Roman" w:cs="Times New Roman"/>
          <w:sz w:val="24"/>
          <w:szCs w:val="24"/>
        </w:rPr>
      </w:pPr>
      <w:r w:rsidRPr="00B644BF">
        <w:rPr>
          <w:rFonts w:ascii="Times New Roman" w:eastAsia="Microsoft YaHei" w:hAnsi="Times New Roman" w:cs="Times New Roman"/>
          <w:sz w:val="24"/>
          <w:szCs w:val="24"/>
        </w:rPr>
        <w:br w:type="page"/>
      </w:r>
    </w:p>
    <w:p w:rsidR="00EE648F" w:rsidRPr="004D6D00" w:rsidRDefault="00EE648F" w:rsidP="004D6D00">
      <w:pPr>
        <w:spacing w:after="0" w:line="240" w:lineRule="auto"/>
        <w:ind w:firstLine="709"/>
        <w:rPr>
          <w:rFonts w:ascii="Times New Roman" w:hAnsi="Times New Roman" w:cs="Times New Roman"/>
          <w:bCs/>
          <w:sz w:val="28"/>
          <w:szCs w:val="28"/>
        </w:rPr>
      </w:pPr>
      <w:r w:rsidRPr="004D6D00">
        <w:rPr>
          <w:rFonts w:ascii="Times New Roman" w:hAnsi="Times New Roman" w:cs="Times New Roman"/>
          <w:bCs/>
          <w:sz w:val="28"/>
          <w:szCs w:val="28"/>
        </w:rPr>
        <w:lastRenderedPageBreak/>
        <w:t>УДК 342.7</w:t>
      </w:r>
    </w:p>
    <w:p w:rsidR="00EE648F" w:rsidRPr="00B644BF" w:rsidRDefault="00EE648F" w:rsidP="004D6D00">
      <w:pPr>
        <w:spacing w:after="0" w:line="240" w:lineRule="auto"/>
        <w:ind w:firstLine="709"/>
        <w:jc w:val="center"/>
        <w:rPr>
          <w:rFonts w:ascii="Times New Roman" w:hAnsi="Times New Roman" w:cs="Times New Roman"/>
          <w:b/>
          <w:bCs/>
          <w:sz w:val="28"/>
          <w:szCs w:val="28"/>
        </w:rPr>
      </w:pPr>
      <w:r w:rsidRPr="00B644BF">
        <w:rPr>
          <w:rFonts w:ascii="Times New Roman" w:hAnsi="Times New Roman" w:cs="Times New Roman"/>
          <w:b/>
          <w:bCs/>
          <w:sz w:val="28"/>
          <w:szCs w:val="28"/>
        </w:rPr>
        <w:t>ПРАВО НЕСОВЕРШЕННОЛЕТНИХ НА ЗАЩИТУ ПЕРСОНАЛЬНЫХ ДАННЫХ: ОСОБЕННОСТИ РЕАЛИЗАЦИИ</w:t>
      </w:r>
    </w:p>
    <w:p w:rsidR="00EE648F" w:rsidRPr="00B644BF" w:rsidRDefault="00EE648F" w:rsidP="004D6D00">
      <w:pPr>
        <w:spacing w:after="0" w:line="240" w:lineRule="auto"/>
        <w:ind w:firstLine="709"/>
        <w:jc w:val="center"/>
        <w:rPr>
          <w:rFonts w:ascii="Times New Roman" w:hAnsi="Times New Roman" w:cs="Times New Roman"/>
          <w:b/>
        </w:rPr>
      </w:pPr>
    </w:p>
    <w:p w:rsidR="00EE648F" w:rsidRPr="00B644BF" w:rsidRDefault="00EE648F" w:rsidP="004D6D00">
      <w:pPr>
        <w:spacing w:after="0" w:line="240" w:lineRule="auto"/>
        <w:ind w:firstLine="709"/>
        <w:jc w:val="center"/>
        <w:rPr>
          <w:rFonts w:ascii="Times New Roman" w:hAnsi="Times New Roman" w:cs="Times New Roman"/>
          <w:b/>
          <w:sz w:val="28"/>
          <w:szCs w:val="28"/>
        </w:rPr>
      </w:pPr>
      <w:r w:rsidRPr="00B644BF">
        <w:rPr>
          <w:rFonts w:ascii="Times New Roman" w:hAnsi="Times New Roman" w:cs="Times New Roman"/>
          <w:b/>
          <w:sz w:val="28"/>
          <w:szCs w:val="28"/>
        </w:rPr>
        <w:t>Кузьменкова Татьяна Николаевна</w:t>
      </w:r>
    </w:p>
    <w:p w:rsidR="00EE648F" w:rsidRPr="00B644BF" w:rsidRDefault="00EE648F" w:rsidP="004D6D00">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старший преподаватель кафедры теории права и социально-политических дисциплин</w:t>
      </w:r>
    </w:p>
    <w:p w:rsidR="00EE648F" w:rsidRPr="00B644BF" w:rsidRDefault="00EE648F" w:rsidP="004D6D00">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учреждения образования «Могилевский государственный университет</w:t>
      </w:r>
    </w:p>
    <w:p w:rsidR="00EE648F" w:rsidRPr="00B644BF" w:rsidRDefault="00EE648F" w:rsidP="004D6D00">
      <w:pPr>
        <w:spacing w:after="0" w:line="240" w:lineRule="auto"/>
        <w:ind w:firstLine="709"/>
        <w:jc w:val="center"/>
        <w:rPr>
          <w:rFonts w:ascii="Times New Roman" w:hAnsi="Times New Roman" w:cs="Times New Roman"/>
          <w:sz w:val="28"/>
          <w:szCs w:val="28"/>
          <w:lang w:val="be-BY"/>
        </w:rPr>
      </w:pPr>
      <w:r w:rsidRPr="00B644BF">
        <w:rPr>
          <w:rFonts w:ascii="Times New Roman" w:hAnsi="Times New Roman" w:cs="Times New Roman"/>
          <w:sz w:val="28"/>
          <w:szCs w:val="28"/>
        </w:rPr>
        <w:t xml:space="preserve">имени А.А. Кулешова»; </w:t>
      </w:r>
    </w:p>
    <w:p w:rsidR="00EE648F" w:rsidRPr="00B644BF" w:rsidRDefault="00EE648F" w:rsidP="004D6D00">
      <w:pPr>
        <w:widowControl w:val="0"/>
        <w:tabs>
          <w:tab w:val="left" w:pos="7200"/>
        </w:tabs>
        <w:spacing w:after="0" w:line="240" w:lineRule="auto"/>
        <w:ind w:firstLine="709"/>
        <w:jc w:val="center"/>
        <w:rPr>
          <w:rFonts w:ascii="Times New Roman" w:hAnsi="Times New Roman" w:cs="Times New Roman"/>
          <w:spacing w:val="-4"/>
          <w:sz w:val="28"/>
          <w:szCs w:val="28"/>
          <w:lang w:val="be-BY"/>
        </w:rPr>
      </w:pPr>
      <w:r w:rsidRPr="00B644BF">
        <w:rPr>
          <w:rFonts w:ascii="Times New Roman" w:hAnsi="Times New Roman" w:cs="Times New Roman"/>
          <w:sz w:val="28"/>
          <w:szCs w:val="28"/>
        </w:rPr>
        <w:t>(г. Могилев, Беларусь)</w:t>
      </w:r>
    </w:p>
    <w:p w:rsidR="00EE648F" w:rsidRPr="00B644BF" w:rsidRDefault="00EE648F" w:rsidP="004D6D00">
      <w:pPr>
        <w:autoSpaceDE w:val="0"/>
        <w:autoSpaceDN w:val="0"/>
        <w:adjustRightInd w:val="0"/>
        <w:spacing w:after="0" w:line="240" w:lineRule="auto"/>
        <w:ind w:firstLine="709"/>
        <w:jc w:val="center"/>
        <w:rPr>
          <w:rFonts w:ascii="Times New Roman" w:hAnsi="Times New Roman" w:cs="Times New Roman"/>
          <w:i/>
          <w:sz w:val="28"/>
          <w:szCs w:val="28"/>
        </w:rPr>
      </w:pPr>
      <w:r w:rsidRPr="00B644BF">
        <w:rPr>
          <w:rFonts w:ascii="Times New Roman" w:hAnsi="Times New Roman" w:cs="Times New Roman"/>
          <w:sz w:val="28"/>
          <w:szCs w:val="28"/>
          <w:lang w:val="en-US"/>
        </w:rPr>
        <w:t>kuzmenkova</w:t>
      </w:r>
      <w:r w:rsidRPr="00B644BF">
        <w:rPr>
          <w:rFonts w:ascii="Times New Roman" w:hAnsi="Times New Roman" w:cs="Times New Roman"/>
          <w:sz w:val="28"/>
          <w:szCs w:val="28"/>
        </w:rPr>
        <w:t>@</w:t>
      </w:r>
      <w:r w:rsidRPr="00B644BF">
        <w:rPr>
          <w:rFonts w:ascii="Times New Roman" w:hAnsi="Times New Roman" w:cs="Times New Roman"/>
          <w:sz w:val="28"/>
          <w:szCs w:val="28"/>
          <w:lang w:val="en-US"/>
        </w:rPr>
        <w:t>m</w:t>
      </w:r>
      <w:r w:rsidRPr="00B644BF">
        <w:rPr>
          <w:rFonts w:ascii="Times New Roman" w:hAnsi="Times New Roman" w:cs="Times New Roman"/>
          <w:sz w:val="28"/>
          <w:szCs w:val="28"/>
        </w:rPr>
        <w:t>.</w:t>
      </w:r>
      <w:r w:rsidRPr="00B644BF">
        <w:rPr>
          <w:rFonts w:ascii="Times New Roman" w:hAnsi="Times New Roman" w:cs="Times New Roman"/>
          <w:sz w:val="28"/>
          <w:szCs w:val="28"/>
          <w:lang w:val="en-US"/>
        </w:rPr>
        <w:t>msu</w:t>
      </w:r>
      <w:r w:rsidRPr="00B644BF">
        <w:rPr>
          <w:rFonts w:ascii="Times New Roman" w:hAnsi="Times New Roman" w:cs="Times New Roman"/>
          <w:sz w:val="28"/>
          <w:szCs w:val="28"/>
        </w:rPr>
        <w:t>.</w:t>
      </w:r>
      <w:r w:rsidRPr="00B644BF">
        <w:rPr>
          <w:rFonts w:ascii="Times New Roman" w:hAnsi="Times New Roman" w:cs="Times New Roman"/>
          <w:sz w:val="28"/>
          <w:szCs w:val="28"/>
          <w:lang w:val="en-US"/>
        </w:rPr>
        <w:t>by</w:t>
      </w:r>
      <w:r w:rsidRPr="00B644BF">
        <w:rPr>
          <w:rFonts w:ascii="Times New Roman" w:hAnsi="Times New Roman" w:cs="Times New Roman"/>
          <w:i/>
          <w:sz w:val="28"/>
          <w:szCs w:val="28"/>
        </w:rPr>
        <w:t xml:space="preserve"> </w:t>
      </w:r>
    </w:p>
    <w:p w:rsidR="00EE648F" w:rsidRPr="00B644BF" w:rsidRDefault="00EE648F" w:rsidP="004D6D00">
      <w:pPr>
        <w:widowControl w:val="0"/>
        <w:tabs>
          <w:tab w:val="left" w:pos="7200"/>
        </w:tabs>
        <w:spacing w:after="0" w:line="240" w:lineRule="auto"/>
        <w:ind w:firstLine="709"/>
        <w:jc w:val="both"/>
        <w:rPr>
          <w:rFonts w:ascii="Times New Roman" w:hAnsi="Times New Roman" w:cs="Times New Roman"/>
          <w:i/>
          <w:sz w:val="28"/>
          <w:szCs w:val="28"/>
        </w:rPr>
      </w:pPr>
    </w:p>
    <w:p w:rsidR="00EE648F" w:rsidRPr="004D6D00" w:rsidRDefault="00EE648F" w:rsidP="004D6D00">
      <w:pPr>
        <w:widowControl w:val="0"/>
        <w:tabs>
          <w:tab w:val="left" w:pos="7200"/>
        </w:tabs>
        <w:spacing w:after="0" w:line="240" w:lineRule="auto"/>
        <w:ind w:firstLine="709"/>
        <w:jc w:val="both"/>
        <w:rPr>
          <w:rFonts w:ascii="Times New Roman" w:hAnsi="Times New Roman" w:cs="Times New Roman"/>
          <w:i/>
          <w:sz w:val="24"/>
          <w:szCs w:val="24"/>
        </w:rPr>
      </w:pPr>
      <w:r w:rsidRPr="004D6D00">
        <w:rPr>
          <w:rFonts w:ascii="Times New Roman" w:hAnsi="Times New Roman" w:cs="Times New Roman"/>
          <w:b/>
          <w:sz w:val="24"/>
          <w:szCs w:val="24"/>
        </w:rPr>
        <w:t>Аннотация.</w:t>
      </w:r>
      <w:r w:rsidRPr="004D6D00">
        <w:rPr>
          <w:rFonts w:ascii="Times New Roman" w:hAnsi="Times New Roman" w:cs="Times New Roman"/>
          <w:sz w:val="24"/>
          <w:szCs w:val="24"/>
        </w:rPr>
        <w:t xml:space="preserve"> Настоящее исследование ставит цель выявить неоднозначные аспекты в законодательной фиксации права несовершеннолетних на защиту персональных данных и иной личной информации, проанализировать специфику его реализации, а также определить направления совершенствования законодательства в соответствии с проведенным анализом. </w:t>
      </w:r>
    </w:p>
    <w:p w:rsidR="00EE648F" w:rsidRPr="004D6D00" w:rsidRDefault="00EE648F" w:rsidP="004D6D00">
      <w:pPr>
        <w:widowControl w:val="0"/>
        <w:tabs>
          <w:tab w:val="left" w:pos="7200"/>
        </w:tabs>
        <w:spacing w:after="0" w:line="240" w:lineRule="auto"/>
        <w:ind w:firstLine="709"/>
        <w:jc w:val="both"/>
        <w:rPr>
          <w:rFonts w:ascii="Times New Roman" w:hAnsi="Times New Roman" w:cs="Times New Roman"/>
          <w:i/>
          <w:sz w:val="24"/>
          <w:szCs w:val="24"/>
        </w:rPr>
      </w:pPr>
      <w:r w:rsidRPr="004D6D00">
        <w:rPr>
          <w:rFonts w:ascii="Times New Roman" w:hAnsi="Times New Roman" w:cs="Times New Roman"/>
          <w:b/>
          <w:sz w:val="24"/>
          <w:szCs w:val="24"/>
        </w:rPr>
        <w:t xml:space="preserve">Ключевые слова. </w:t>
      </w:r>
      <w:r w:rsidRPr="004D6D00">
        <w:rPr>
          <w:rFonts w:ascii="Times New Roman" w:hAnsi="Times New Roman" w:cs="Times New Roman"/>
          <w:bCs/>
          <w:sz w:val="24"/>
          <w:szCs w:val="24"/>
        </w:rPr>
        <w:t>Несовершеннолетние, право на защиту персональных данных, обработка персональных данных, право на цифровое забвение, права субъектов персональных данных, специальные персональные данные</w:t>
      </w:r>
      <w:r w:rsidRPr="004D6D00">
        <w:rPr>
          <w:rFonts w:ascii="Times New Roman" w:hAnsi="Times New Roman" w:cs="Times New Roman"/>
          <w:b/>
          <w:sz w:val="24"/>
          <w:szCs w:val="24"/>
        </w:rPr>
        <w:t>.</w:t>
      </w:r>
    </w:p>
    <w:p w:rsidR="00EE648F" w:rsidRPr="00B644BF" w:rsidRDefault="00EE648F" w:rsidP="004D6D00">
      <w:pPr>
        <w:spacing w:after="0" w:line="240" w:lineRule="auto"/>
        <w:ind w:firstLine="709"/>
        <w:jc w:val="center"/>
        <w:rPr>
          <w:rFonts w:ascii="Times New Roman" w:hAnsi="Times New Roman" w:cs="Times New Roman"/>
          <w:b/>
          <w:bCs/>
          <w:sz w:val="28"/>
          <w:szCs w:val="28"/>
        </w:rPr>
      </w:pPr>
    </w:p>
    <w:p w:rsidR="00EE648F" w:rsidRPr="00B644BF" w:rsidRDefault="00EE648F" w:rsidP="004D6D00">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shd w:val="clear" w:color="auto" w:fill="FFFFFF"/>
        </w:rPr>
        <w:t>Защита детей является одним из приоритетных направлений государственной политики Республики Беларусь, в рамках которого принят ряд нормативных правовых актов и функционирует ряд институтов. Концентрация внимания на несовершеннолетних как особой группе</w:t>
      </w:r>
      <w:r w:rsidRPr="00B644BF">
        <w:rPr>
          <w:rFonts w:ascii="Times New Roman" w:hAnsi="Times New Roman" w:cs="Times New Roman"/>
          <w:sz w:val="28"/>
          <w:szCs w:val="28"/>
        </w:rPr>
        <w:t xml:space="preserve"> в аспекте предоставления детям более высокого уровня защиты</w:t>
      </w:r>
      <w:r w:rsidRPr="00B644BF">
        <w:rPr>
          <w:rFonts w:ascii="Times New Roman" w:hAnsi="Times New Roman" w:cs="Times New Roman"/>
          <w:sz w:val="28"/>
          <w:szCs w:val="28"/>
          <w:shd w:val="clear" w:color="auto" w:fill="FFFFFF"/>
        </w:rPr>
        <w:t xml:space="preserve"> обусловлена спецификой их правового статуса.</w:t>
      </w:r>
    </w:p>
    <w:p w:rsidR="00EE648F" w:rsidRPr="00B644BF" w:rsidRDefault="00EE648F" w:rsidP="004D6D00">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Постоянное развитие общественных отношений актуализирует новые вызовы и угрозы, которые государство, реализуя свои функции, должно нейтрализовать. Применительно к несовершеннолетним данные вызовы и угрозы могут наполнятся особым содержанием. В рамках настоящего исследования особое внимание уделим вопросам реализации права на защиту персональных данных и иной личной информации несовершеннолетними как субъектами, имеющими особый правовой статус.</w:t>
      </w:r>
    </w:p>
    <w:p w:rsidR="00EE648F" w:rsidRPr="00B644BF" w:rsidRDefault="00EE648F" w:rsidP="004D6D00">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Право на защиту персональных данных и иной личной информации можно вывести из положений ст. 28 Конституции Республики Беларусь [1] и определить как юридически гарантированную возможность лица пользоваться комплексом мер государственно-правового характера, направленных на обеспечение защиты лица от осуществления незаконных действий с информацией, относящейся к данному лицу, посягающих на его личную неприкосновенность и частную жизнь.</w:t>
      </w:r>
    </w:p>
    <w:p w:rsidR="00EE648F" w:rsidRPr="00B644BF" w:rsidRDefault="00EE648F" w:rsidP="004D6D00">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lastRenderedPageBreak/>
        <w:t>В 2021 году в Республике Беларусь был принят Закон Республики Беларусь «О защите персональных данных», который дал определение персональных данных («</w:t>
      </w:r>
      <w:r w:rsidRPr="00B644BF">
        <w:rPr>
          <w:rFonts w:ascii="Times New Roman" w:hAnsi="Times New Roman" w:cs="Times New Roman"/>
          <w:sz w:val="28"/>
          <w:szCs w:val="28"/>
          <w:shd w:val="clear" w:color="auto" w:fill="FFFFFF"/>
        </w:rPr>
        <w:t>любая информация, относящаяся к идентифицированному физическому лицу или физическому лицу, которое может быть идентифицировано» [2]), и помимо общего понятия выделил разновидности персональных данных:</w:t>
      </w:r>
      <w:r w:rsidRPr="00B644BF">
        <w:rPr>
          <w:rFonts w:ascii="Times New Roman" w:hAnsi="Times New Roman" w:cs="Times New Roman"/>
          <w:sz w:val="28"/>
          <w:szCs w:val="28"/>
        </w:rPr>
        <w:t xml:space="preserve"> </w:t>
      </w:r>
      <w:r w:rsidRPr="00B644BF">
        <w:rPr>
          <w:rFonts w:ascii="Times New Roman" w:hAnsi="Times New Roman" w:cs="Times New Roman"/>
          <w:sz w:val="28"/>
          <w:szCs w:val="28"/>
          <w:shd w:val="clear" w:color="auto" w:fill="FFFFFF"/>
        </w:rPr>
        <w:t>биометрические персональные данные;</w:t>
      </w:r>
      <w:r w:rsidRPr="00B644BF">
        <w:rPr>
          <w:rFonts w:ascii="Times New Roman" w:hAnsi="Times New Roman" w:cs="Times New Roman"/>
          <w:sz w:val="28"/>
          <w:szCs w:val="28"/>
        </w:rPr>
        <w:t xml:space="preserve"> </w:t>
      </w:r>
      <w:r w:rsidRPr="00B644BF">
        <w:rPr>
          <w:rFonts w:ascii="Times New Roman" w:hAnsi="Times New Roman" w:cs="Times New Roman"/>
          <w:sz w:val="28"/>
          <w:szCs w:val="28"/>
          <w:shd w:val="clear" w:color="auto" w:fill="FFFFFF"/>
        </w:rPr>
        <w:t>генетические персональные данные;</w:t>
      </w:r>
      <w:r w:rsidRPr="00B644BF">
        <w:rPr>
          <w:rFonts w:ascii="Times New Roman" w:hAnsi="Times New Roman" w:cs="Times New Roman"/>
          <w:sz w:val="28"/>
          <w:szCs w:val="28"/>
        </w:rPr>
        <w:t xml:space="preserve"> </w:t>
      </w:r>
      <w:r w:rsidRPr="00B644BF">
        <w:rPr>
          <w:rFonts w:ascii="Times New Roman" w:hAnsi="Times New Roman" w:cs="Times New Roman"/>
          <w:sz w:val="28"/>
          <w:szCs w:val="28"/>
          <w:shd w:val="clear" w:color="auto" w:fill="FFFFFF"/>
        </w:rPr>
        <w:t>специальные персональные данные;</w:t>
      </w:r>
      <w:r w:rsidRPr="00B644BF">
        <w:rPr>
          <w:rFonts w:ascii="Times New Roman" w:hAnsi="Times New Roman" w:cs="Times New Roman"/>
          <w:sz w:val="28"/>
          <w:szCs w:val="28"/>
        </w:rPr>
        <w:t xml:space="preserve"> </w:t>
      </w:r>
      <w:r w:rsidRPr="00B644BF">
        <w:rPr>
          <w:rFonts w:ascii="Times New Roman" w:hAnsi="Times New Roman" w:cs="Times New Roman"/>
          <w:sz w:val="28"/>
          <w:szCs w:val="28"/>
          <w:shd w:val="clear" w:color="auto" w:fill="FFFFFF"/>
        </w:rPr>
        <w:t>общедоступные персональные данные.</w:t>
      </w:r>
      <w:r w:rsidRPr="00B644BF">
        <w:rPr>
          <w:rFonts w:ascii="Times New Roman" w:hAnsi="Times New Roman" w:cs="Times New Roman"/>
          <w:sz w:val="28"/>
          <w:szCs w:val="28"/>
        </w:rPr>
        <w:t xml:space="preserve"> </w:t>
      </w:r>
      <w:r w:rsidRPr="00B644BF">
        <w:rPr>
          <w:rFonts w:ascii="Times New Roman" w:hAnsi="Times New Roman" w:cs="Times New Roman"/>
          <w:sz w:val="28"/>
          <w:szCs w:val="28"/>
          <w:shd w:val="clear" w:color="auto" w:fill="FFFFFF"/>
        </w:rPr>
        <w:t>Закон определяет порядок обработки персональных данных, права субъектов персональных данных и обязанности операторов [2].</w:t>
      </w:r>
    </w:p>
    <w:p w:rsidR="00EE648F" w:rsidRPr="00B644BF" w:rsidRDefault="00EE648F" w:rsidP="004D6D00">
      <w:pPr>
        <w:spacing w:after="0" w:line="240" w:lineRule="auto"/>
        <w:ind w:firstLine="709"/>
        <w:jc w:val="both"/>
        <w:rPr>
          <w:rFonts w:ascii="Times New Roman" w:hAnsi="Times New Roman" w:cs="Times New Roman"/>
          <w:sz w:val="28"/>
          <w:szCs w:val="28"/>
          <w:shd w:val="clear" w:color="auto" w:fill="FFFFFF"/>
        </w:rPr>
      </w:pPr>
      <w:r w:rsidRPr="00B644BF">
        <w:rPr>
          <w:rFonts w:ascii="Times New Roman" w:hAnsi="Times New Roman" w:cs="Times New Roman"/>
          <w:sz w:val="28"/>
          <w:szCs w:val="28"/>
        </w:rPr>
        <w:t xml:space="preserve">Несмотря на законодательное регулирование этой области общественных отношений, создания соответствующего государственного учреждения – Национальный центр защиты персональных данных </w:t>
      </w:r>
      <w:r w:rsidRPr="00B644BF">
        <w:rPr>
          <w:rFonts w:ascii="Times New Roman" w:hAnsi="Times New Roman" w:cs="Times New Roman"/>
          <w:sz w:val="28"/>
          <w:szCs w:val="28"/>
          <w:shd w:val="clear" w:color="auto" w:fill="FFFFFF"/>
        </w:rPr>
        <w:t>Республики Беларусь как уполномоченного органа по защите прав субъектов персональных данных, ряд аспектов в отношении защиты и реализации прав несовершеннолетних остаются вне поля правового регулирования либо сопряжены с определенными трудностями.</w:t>
      </w:r>
    </w:p>
    <w:p w:rsidR="00EE648F" w:rsidRPr="00B644BF" w:rsidRDefault="00EE648F" w:rsidP="004D6D00">
      <w:pPr>
        <w:spacing w:after="0" w:line="240" w:lineRule="auto"/>
        <w:ind w:firstLine="709"/>
        <w:jc w:val="both"/>
        <w:rPr>
          <w:rFonts w:ascii="Times New Roman" w:hAnsi="Times New Roman" w:cs="Times New Roman"/>
          <w:sz w:val="28"/>
          <w:szCs w:val="28"/>
          <w:shd w:val="clear" w:color="auto" w:fill="FFFFFF"/>
        </w:rPr>
      </w:pPr>
      <w:r w:rsidRPr="00B644BF">
        <w:rPr>
          <w:rFonts w:ascii="Times New Roman" w:hAnsi="Times New Roman" w:cs="Times New Roman"/>
          <w:sz w:val="28"/>
          <w:szCs w:val="28"/>
        </w:rPr>
        <w:t xml:space="preserve">Во-первых, стоит обратить внимание на возрастную специфику реализации исследуемого права. В соответствии ст.5 </w:t>
      </w:r>
      <w:r w:rsidRPr="00B644BF">
        <w:rPr>
          <w:rFonts w:ascii="Times New Roman" w:hAnsi="Times New Roman" w:cs="Times New Roman"/>
          <w:sz w:val="28"/>
          <w:szCs w:val="28"/>
          <w:shd w:val="clear" w:color="auto" w:fill="FFFFFF"/>
        </w:rPr>
        <w:t xml:space="preserve">Закона Республики Беларусь «О защите персональных данных» </w:t>
      </w:r>
      <w:r w:rsidRPr="00B644BF">
        <w:rPr>
          <w:rFonts w:ascii="Times New Roman" w:hAnsi="Times New Roman" w:cs="Times New Roman"/>
          <w:sz w:val="28"/>
          <w:szCs w:val="28"/>
        </w:rPr>
        <w:t>«до достижения субъектом персональных данных возраста 16 лет, за исключением вступления в брак до достижения возраста 16 лет, согласие на обработку его персональных данных дает один из его законных представителей» [2]. В случае дачи согласия на обработку персональных данных вместо субъекта персональных данных эти лица пользуются всеми правами субъекта персональных данных [2]</w:t>
      </w:r>
      <w:r w:rsidRPr="00B644BF">
        <w:rPr>
          <w:rFonts w:ascii="Times New Roman" w:hAnsi="Times New Roman" w:cs="Times New Roman"/>
          <w:sz w:val="28"/>
          <w:szCs w:val="28"/>
          <w:shd w:val="clear" w:color="auto" w:fill="FFFFFF"/>
        </w:rPr>
        <w:t xml:space="preserve">. То есть до достижения возраста 16 лет несовершеннолетние, по сути, не могут реализовать право на защиту своих персональных данных. </w:t>
      </w:r>
    </w:p>
    <w:p w:rsidR="00EE648F" w:rsidRPr="00B644BF" w:rsidRDefault="00EE648F" w:rsidP="004D6D00">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shd w:val="clear" w:color="auto" w:fill="FFFFFF"/>
        </w:rPr>
        <w:tab/>
        <w:t>В национальной юридической науке уже есть исследования по данному вопросу, в том числе высказываются предложения о снижении возраста согласия на обработку персональных данных до 14 лет.</w:t>
      </w:r>
      <w:r w:rsidRPr="00B644BF">
        <w:rPr>
          <w:rFonts w:ascii="Times New Roman" w:hAnsi="Times New Roman" w:cs="Times New Roman"/>
          <w:sz w:val="28"/>
          <w:szCs w:val="28"/>
        </w:rPr>
        <w:t xml:space="preserve"> Обосновывается приведенная позиция отсылкой на различные вариации дееспособности несовершеннолетних в возрасте от 14 до 18 лет, а также регулированием вопроса возраста согласия на обработку персональных данных в отдельных странах Европейского Союза [3]. </w:t>
      </w:r>
    </w:p>
    <w:p w:rsidR="00EE648F" w:rsidRPr="00B644BF" w:rsidRDefault="00EE648F" w:rsidP="004D6D00">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Не соглашаясь с данным предложением, полагаем, что до достижения возраста 16 лет несовершеннолетние не способны в полной мере оценить все риски, связанные с возможной обработкой персональных данных, однако с 14 лет </w:t>
      </w:r>
      <w:r w:rsidRPr="00B644BF">
        <w:rPr>
          <w:rFonts w:ascii="Times New Roman" w:hAnsi="Times New Roman" w:cs="Times New Roman"/>
          <w:sz w:val="28"/>
          <w:szCs w:val="28"/>
          <w:shd w:val="clear" w:color="auto" w:fill="FFFFFF"/>
        </w:rPr>
        <w:t xml:space="preserve">уже способны выразить свое мнение и не согласится с данным действием, </w:t>
      </w:r>
      <w:r w:rsidRPr="00B644BF">
        <w:rPr>
          <w:rFonts w:ascii="Times New Roman" w:hAnsi="Times New Roman" w:cs="Times New Roman"/>
          <w:sz w:val="28"/>
          <w:szCs w:val="28"/>
        </w:rPr>
        <w:t xml:space="preserve">особенно если речь идет об обработке специальных персональных данных, </w:t>
      </w:r>
      <w:r w:rsidRPr="00B644BF">
        <w:rPr>
          <w:rFonts w:ascii="Times New Roman" w:hAnsi="Times New Roman" w:cs="Times New Roman"/>
          <w:sz w:val="28"/>
          <w:szCs w:val="28"/>
          <w:shd w:val="clear" w:color="auto" w:fill="FFFFFF"/>
        </w:rPr>
        <w:t xml:space="preserve">касающихся «расовой либо национальной принадлежности, политических взглядов, членства в профессиональных союзах, религиозных или других убеждений, здоровья </w:t>
      </w:r>
      <w:r w:rsidRPr="00B644BF">
        <w:rPr>
          <w:rFonts w:ascii="Times New Roman" w:hAnsi="Times New Roman" w:cs="Times New Roman"/>
          <w:sz w:val="28"/>
          <w:szCs w:val="28"/>
          <w:shd w:val="clear" w:color="auto" w:fill="FFFFFF"/>
        </w:rPr>
        <w:lastRenderedPageBreak/>
        <w:t>или половой жизни, привлечения к административной или уголовной ответственности» [2].</w:t>
      </w:r>
      <w:r w:rsidRPr="00B644BF">
        <w:rPr>
          <w:rFonts w:ascii="Times New Roman" w:hAnsi="Times New Roman" w:cs="Times New Roman"/>
          <w:sz w:val="28"/>
          <w:szCs w:val="28"/>
        </w:rPr>
        <w:t xml:space="preserve"> В этой связи для предоставления </w:t>
      </w:r>
      <w:r w:rsidRPr="00B644BF">
        <w:rPr>
          <w:rFonts w:ascii="Times New Roman" w:hAnsi="Times New Roman" w:cs="Times New Roman"/>
          <w:sz w:val="28"/>
          <w:szCs w:val="28"/>
          <w:shd w:val="clear" w:color="auto" w:fill="FFFFFF"/>
        </w:rPr>
        <w:t>дополнительной защиты несовершеннолетнему с учетом высказанного им мнения</w:t>
      </w:r>
      <w:r w:rsidRPr="00B644BF">
        <w:rPr>
          <w:rFonts w:ascii="Times New Roman" w:hAnsi="Times New Roman" w:cs="Times New Roman"/>
          <w:sz w:val="28"/>
          <w:szCs w:val="28"/>
        </w:rPr>
        <w:t xml:space="preserve"> в отдельных ситуациях (обработка специальных персональных данных) в случае согласия законных представителей на обработку персональных данных, следует дополнительно получать и согласие ребенка, достигшего возраста 14 лет. </w:t>
      </w:r>
      <w:r w:rsidRPr="00B644BF">
        <w:rPr>
          <w:rFonts w:ascii="Times New Roman" w:hAnsi="Times New Roman" w:cs="Times New Roman"/>
          <w:sz w:val="28"/>
          <w:szCs w:val="28"/>
          <w:shd w:val="clear" w:color="auto" w:fill="FFFFFF"/>
        </w:rPr>
        <w:t>По аналогии мы можем привести норму Закона Республики Беларусь «О гражданстве Республики Беларусь» (абз.3 ч.1 ст. 19), которая допускает утрату гражданства ребенком, приобретшим по рождению наряду с гражданством иностранного государства гражданство Республики Беларусь, по заявлению родителей только с согласия ребенка, в возрасте от 14 до 18 лет выраженного в письменной форме и нотариально удостоверенного [4].</w:t>
      </w:r>
    </w:p>
    <w:p w:rsidR="00EE648F" w:rsidRPr="00B644BF" w:rsidRDefault="00EE648F" w:rsidP="004D6D00">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Следующий требующий особого внимания момент – это защита персональных данных несовершеннолетних в сети Интернет. Исследуя вопросы безопасности детей Г.У. Солдатова, О.И. Теславская приводят данные контент-анализа личной информации в Интернете, распространяемой посредством социальных сетей: пространственная локализация; регистрационные идентификационные данные; умения, навыки, личностные черты; хроника личных событий; физические характеристики; социальные связи; материально-экономическое положение; образ жизни и поведенческие установки; официальные статусы; профессиональная занятость; психологические особенности [5, </w:t>
      </w:r>
      <w:r w:rsidRPr="00B644BF">
        <w:rPr>
          <w:rFonts w:ascii="Times New Roman" w:hAnsi="Times New Roman" w:cs="Times New Roman"/>
          <w:sz w:val="28"/>
          <w:szCs w:val="28"/>
          <w:lang w:val="en-US"/>
        </w:rPr>
        <w:t>c</w:t>
      </w:r>
      <w:r w:rsidRPr="00B644BF">
        <w:rPr>
          <w:rFonts w:ascii="Times New Roman" w:hAnsi="Times New Roman" w:cs="Times New Roman"/>
          <w:sz w:val="28"/>
          <w:szCs w:val="28"/>
        </w:rPr>
        <w:t>. 94]. Поэтому актуальным здесь видится создание действенного механизма проверки подтверждении достигнутого возраста в цифровой среде, а также обучения несовершеннолетних навыкам цифровой гигиены.</w:t>
      </w:r>
    </w:p>
    <w:p w:rsidR="00EE648F" w:rsidRPr="00B644BF" w:rsidRDefault="00EE648F" w:rsidP="004D6D00">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В-третьих, недостаточно урегулированной видится в целом защита личной информации о несовершеннолетних в случаях, которые не охватываются законом о защите персональных данных. В Замечании общего порядка № 25 о правах детей в связи с цифровой средой к Конвенции о правах ребенка (пп. 67-68) отмечено, что «угрозы могут также исходить от собственной деятельности детей, а также от деятельности членов их семьи, сверстников или других лиц…» [6]. В данном ракурсе интерес представляет два направления правового сопровождения этой сферы.</w:t>
      </w:r>
    </w:p>
    <w:p w:rsidR="00EE648F" w:rsidRPr="00B644BF" w:rsidRDefault="00EE648F" w:rsidP="004D6D00">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Первое связано с развитием механизма реализации права быть забытым (права на цифровое забвение). Полагаем, что особенную значимость приобретает возможность реализации данного правомочия несовершеннолетними и их законными представителями, например, в случае, если информация служит поводом для травли ребенка среди сверстников. </w:t>
      </w:r>
    </w:p>
    <w:p w:rsidR="00EE648F" w:rsidRPr="00B644BF" w:rsidRDefault="00EE648F" w:rsidP="004D6D00">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Второе направление связано с определением критериев содержания той личной информации, распространение которой </w:t>
      </w:r>
      <w:r w:rsidRPr="00B644BF">
        <w:rPr>
          <w:rFonts w:ascii="Times New Roman" w:hAnsi="Times New Roman" w:cs="Times New Roman"/>
          <w:sz w:val="28"/>
          <w:szCs w:val="28"/>
          <w:shd w:val="clear" w:color="auto" w:fill="FFFFFF"/>
        </w:rPr>
        <w:t xml:space="preserve">в процессе </w:t>
      </w:r>
      <w:r w:rsidRPr="00B644BF">
        <w:rPr>
          <w:rFonts w:ascii="Times New Roman" w:hAnsi="Times New Roman" w:cs="Times New Roman"/>
          <w:sz w:val="28"/>
          <w:szCs w:val="28"/>
          <w:shd w:val="clear" w:color="auto" w:fill="FFFFFF"/>
        </w:rPr>
        <w:lastRenderedPageBreak/>
        <w:t xml:space="preserve">исключительно </w:t>
      </w:r>
      <w:r w:rsidRPr="00B644BF">
        <w:rPr>
          <w:rFonts w:ascii="Times New Roman" w:hAnsi="Times New Roman" w:cs="Times New Roman"/>
          <w:sz w:val="28"/>
          <w:szCs w:val="28"/>
        </w:rPr>
        <w:t xml:space="preserve">личного, семейного, домашнего и иного подобного использования может нанести серьезный вред несовершеннолетним (особенно в случае, когда последний против, либо в силу возраста не может выразить свое мнение) и выработкой механизма предотвращения ее распространения.  Однако стоит учитывать, что данное направление не вполне однозначное с точки зрения доступности и пределов правового регулирования, что требует своего рода «ювелирной» юридической работы. </w:t>
      </w:r>
    </w:p>
    <w:p w:rsidR="00EE648F" w:rsidRPr="00B644BF" w:rsidRDefault="00EE648F" w:rsidP="004D6D00">
      <w:pPr>
        <w:tabs>
          <w:tab w:val="left" w:pos="3261"/>
        </w:tabs>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Таким образом, право на защиту персональных данных и иной личной информации в отношении несовершеннолетних имеет специфику, обусловленную особенностями их правого статуса, в первую очередь характеризующуюся отсутствием возможности самостоятельной реализации данного права до определенного возраста. В качестве направлений развития национального законодательства предлагаем: законодательное закрепление необходимости получения дополнительного согласия на обработку персональных данных от несовершеннолетних, достигших возраста 14 лет, в случае согласия на обработку их законных представителей; совершенствование механизма проверки возраста субъектов персональных данных в Интернете; выработка механизма реализации права быть забытым в отношении несовершеннолетних; выработка механизма контроля за распространением личной информации о несовершеннолетнем, в случаях, не охватываемых Законом Республики Беларусь «О защите персональных данных».</w:t>
      </w:r>
    </w:p>
    <w:p w:rsidR="00EE648F" w:rsidRPr="00B644BF" w:rsidRDefault="00EE648F" w:rsidP="004D6D00">
      <w:pPr>
        <w:spacing w:after="0" w:line="240" w:lineRule="auto"/>
        <w:ind w:firstLine="709"/>
        <w:rPr>
          <w:rFonts w:ascii="Times New Roman" w:hAnsi="Times New Roman" w:cs="Times New Roman"/>
          <w:sz w:val="28"/>
          <w:szCs w:val="28"/>
        </w:rPr>
      </w:pPr>
    </w:p>
    <w:p w:rsidR="00EE648F" w:rsidRPr="006A0820" w:rsidRDefault="00EE648F" w:rsidP="004D6D00">
      <w:pPr>
        <w:widowControl w:val="0"/>
        <w:tabs>
          <w:tab w:val="left" w:pos="7200"/>
        </w:tabs>
        <w:spacing w:after="0" w:line="240" w:lineRule="auto"/>
        <w:ind w:firstLine="709"/>
        <w:jc w:val="center"/>
        <w:rPr>
          <w:rFonts w:ascii="Times New Roman" w:hAnsi="Times New Roman" w:cs="Times New Roman"/>
          <w:b/>
          <w:sz w:val="28"/>
          <w:szCs w:val="28"/>
        </w:rPr>
      </w:pPr>
      <w:r w:rsidRPr="006A0820">
        <w:rPr>
          <w:rFonts w:ascii="Times New Roman" w:hAnsi="Times New Roman" w:cs="Times New Roman"/>
          <w:b/>
          <w:sz w:val="28"/>
          <w:szCs w:val="28"/>
        </w:rPr>
        <w:t>Список литературы</w:t>
      </w:r>
    </w:p>
    <w:p w:rsidR="00EE648F" w:rsidRPr="004D6D00" w:rsidRDefault="004D6D00" w:rsidP="004D6D00">
      <w:pPr>
        <w:widowControl w:val="0"/>
        <w:tabs>
          <w:tab w:val="left" w:pos="7200"/>
        </w:tabs>
        <w:spacing w:after="0" w:line="240" w:lineRule="auto"/>
        <w:ind w:firstLine="709"/>
        <w:jc w:val="both"/>
        <w:rPr>
          <w:rFonts w:ascii="Times New Roman" w:hAnsi="Times New Roman" w:cs="Times New Roman"/>
          <w:sz w:val="24"/>
          <w:szCs w:val="24"/>
        </w:rPr>
      </w:pPr>
      <w:bookmarkStart w:id="1" w:name="КонституцияРБ"/>
      <w:r w:rsidRPr="004D6D00">
        <w:rPr>
          <w:rFonts w:ascii="Times New Roman" w:hAnsi="Times New Roman" w:cs="Times New Roman"/>
          <w:sz w:val="24"/>
          <w:szCs w:val="24"/>
        </w:rPr>
        <w:t xml:space="preserve">1. </w:t>
      </w:r>
      <w:r w:rsidR="00EE648F" w:rsidRPr="004D6D00">
        <w:rPr>
          <w:rFonts w:ascii="Times New Roman" w:hAnsi="Times New Roman" w:cs="Times New Roman"/>
          <w:sz w:val="24"/>
          <w:szCs w:val="24"/>
        </w:rPr>
        <w:t xml:space="preserve">Конституция Республики Беларусь </w:t>
      </w:r>
      <w:bookmarkEnd w:id="1"/>
      <w:r w:rsidR="00EE648F" w:rsidRPr="004D6D00">
        <w:rPr>
          <w:rFonts w:ascii="Times New Roman" w:hAnsi="Times New Roman" w:cs="Times New Roman"/>
          <w:sz w:val="24"/>
          <w:szCs w:val="24"/>
        </w:rPr>
        <w:t>: с изм. и доп., принятыми на Респ. референдумах 24 нояб. 1996 г., 17 окт. 2004 г. и 27 февр. 2022 г. // ЭТАЛОН. Законодательство Республики Беларусь / ЭТАЛОН : информ.- поисковая система (дата обращения: 13.02.2026).</w:t>
      </w:r>
    </w:p>
    <w:p w:rsidR="00EE648F" w:rsidRPr="004D6D00" w:rsidRDefault="004D6D00" w:rsidP="004D6D00">
      <w:pPr>
        <w:spacing w:after="0" w:line="240" w:lineRule="auto"/>
        <w:ind w:firstLine="709"/>
        <w:jc w:val="both"/>
        <w:rPr>
          <w:rFonts w:ascii="Times New Roman" w:hAnsi="Times New Roman" w:cs="Times New Roman"/>
          <w:sz w:val="24"/>
          <w:szCs w:val="24"/>
        </w:rPr>
      </w:pPr>
      <w:bookmarkStart w:id="2" w:name="ЗаконОзащПерсДан"/>
      <w:r w:rsidRPr="004D6D00">
        <w:rPr>
          <w:rFonts w:ascii="Times New Roman" w:hAnsi="Times New Roman" w:cs="Times New Roman"/>
          <w:sz w:val="24"/>
          <w:szCs w:val="24"/>
        </w:rPr>
        <w:t xml:space="preserve">2. </w:t>
      </w:r>
      <w:r w:rsidR="00EE648F" w:rsidRPr="004D6D00">
        <w:rPr>
          <w:rFonts w:ascii="Times New Roman" w:hAnsi="Times New Roman" w:cs="Times New Roman"/>
          <w:sz w:val="24"/>
          <w:szCs w:val="24"/>
        </w:rPr>
        <w:t>О Защите персональных данных</w:t>
      </w:r>
      <w:bookmarkEnd w:id="2"/>
      <w:r w:rsidR="00EE648F" w:rsidRPr="004D6D00">
        <w:rPr>
          <w:rFonts w:ascii="Times New Roman" w:hAnsi="Times New Roman" w:cs="Times New Roman"/>
          <w:sz w:val="24"/>
          <w:szCs w:val="24"/>
        </w:rPr>
        <w:t>: Закон Респ. Беларусь от 7 мая 2021 г. № 99-З: в ред. от 1 июня 2022 г. № 175-З // ЭТАЛОН : информ.-поисковая система (дата обращения: 13.02.2026).</w:t>
      </w:r>
    </w:p>
    <w:p w:rsidR="00EE648F" w:rsidRPr="004D6D00" w:rsidRDefault="004D6D00" w:rsidP="004D6D00">
      <w:pPr>
        <w:spacing w:after="0" w:line="240" w:lineRule="auto"/>
        <w:ind w:firstLine="709"/>
        <w:jc w:val="both"/>
        <w:rPr>
          <w:rFonts w:ascii="Times New Roman" w:hAnsi="Times New Roman" w:cs="Times New Roman"/>
          <w:sz w:val="24"/>
          <w:szCs w:val="24"/>
        </w:rPr>
      </w:pPr>
      <w:bookmarkStart w:id="3" w:name="ГавриленкоАИКвопросуовозрастесогласиянао"/>
      <w:r w:rsidRPr="004D6D00">
        <w:rPr>
          <w:rFonts w:ascii="Times New Roman" w:hAnsi="Times New Roman" w:cs="Times New Roman"/>
          <w:sz w:val="24"/>
          <w:szCs w:val="24"/>
        </w:rPr>
        <w:t xml:space="preserve">3. </w:t>
      </w:r>
      <w:r w:rsidR="00EE648F" w:rsidRPr="004D6D00">
        <w:rPr>
          <w:rFonts w:ascii="Times New Roman" w:hAnsi="Times New Roman" w:cs="Times New Roman"/>
          <w:sz w:val="24"/>
          <w:szCs w:val="24"/>
        </w:rPr>
        <w:t>Гавриленко, А. И. К вопросу о возрасте согласия на обработку персональных данных</w:t>
      </w:r>
      <w:bookmarkEnd w:id="3"/>
      <w:r w:rsidR="00EE648F" w:rsidRPr="004D6D00">
        <w:rPr>
          <w:rFonts w:ascii="Times New Roman" w:hAnsi="Times New Roman" w:cs="Times New Roman"/>
          <w:sz w:val="24"/>
          <w:szCs w:val="24"/>
        </w:rPr>
        <w:t xml:space="preserve"> / А. И. Гавриленко // Актуальные проблемы гражданского права: научный журнал / Учреждение образования Федерации профсоюзов Беларуси «Международный университет «МИТСО». — 2023. — № 2 (22). — С. 95—106.</w:t>
      </w:r>
    </w:p>
    <w:p w:rsidR="00EE648F" w:rsidRPr="004D6D00" w:rsidRDefault="004D6D00" w:rsidP="004D6D00">
      <w:pPr>
        <w:widowControl w:val="0"/>
        <w:tabs>
          <w:tab w:val="left" w:pos="7200"/>
        </w:tabs>
        <w:spacing w:after="0" w:line="240" w:lineRule="auto"/>
        <w:ind w:firstLine="709"/>
        <w:jc w:val="both"/>
        <w:rPr>
          <w:rFonts w:ascii="Times New Roman" w:hAnsi="Times New Roman" w:cs="Times New Roman"/>
          <w:b/>
          <w:sz w:val="24"/>
          <w:szCs w:val="24"/>
        </w:rPr>
      </w:pPr>
      <w:bookmarkStart w:id="4" w:name="ЗаконОГрРБ"/>
      <w:r w:rsidRPr="004D6D00">
        <w:rPr>
          <w:rFonts w:ascii="Times New Roman" w:hAnsi="Times New Roman" w:cs="Times New Roman"/>
          <w:sz w:val="24"/>
          <w:szCs w:val="24"/>
        </w:rPr>
        <w:t xml:space="preserve">4. </w:t>
      </w:r>
      <w:r w:rsidR="00EE648F" w:rsidRPr="004D6D00">
        <w:rPr>
          <w:rFonts w:ascii="Times New Roman" w:hAnsi="Times New Roman" w:cs="Times New Roman"/>
          <w:sz w:val="24"/>
          <w:szCs w:val="24"/>
        </w:rPr>
        <w:t xml:space="preserve">О гражданстве Республики Беларусь : Закон </w:t>
      </w:r>
      <w:bookmarkEnd w:id="4"/>
      <w:r w:rsidR="00EE648F" w:rsidRPr="004D6D00">
        <w:rPr>
          <w:rFonts w:ascii="Times New Roman" w:hAnsi="Times New Roman" w:cs="Times New Roman"/>
          <w:sz w:val="24"/>
          <w:szCs w:val="24"/>
        </w:rPr>
        <w:t>Респ. Беларусь от 1 августа 2002 г. № 136-З : в ред. от 5 января 2023 г. // ЭТАЛОН : информ.-поисковая система (дата обращения: 13.02.2026)</w:t>
      </w:r>
    </w:p>
    <w:p w:rsidR="00EE648F" w:rsidRPr="004D6D00" w:rsidRDefault="004D6D00" w:rsidP="004D6D00">
      <w:pPr>
        <w:widowControl w:val="0"/>
        <w:tabs>
          <w:tab w:val="left" w:pos="7200"/>
        </w:tabs>
        <w:spacing w:after="0" w:line="240" w:lineRule="auto"/>
        <w:ind w:firstLine="709"/>
        <w:jc w:val="both"/>
        <w:rPr>
          <w:rFonts w:ascii="Times New Roman" w:hAnsi="Times New Roman" w:cs="Times New Roman"/>
          <w:b/>
          <w:sz w:val="24"/>
          <w:szCs w:val="24"/>
        </w:rPr>
      </w:pPr>
      <w:bookmarkStart w:id="5" w:name="СолдатоваТеславскаяПерсоналДан"/>
      <w:r w:rsidRPr="004D6D00">
        <w:rPr>
          <w:rFonts w:ascii="Times New Roman" w:hAnsi="Times New Roman" w:cs="Times New Roman"/>
          <w:sz w:val="24"/>
          <w:szCs w:val="24"/>
        </w:rPr>
        <w:t xml:space="preserve">5. </w:t>
      </w:r>
      <w:r w:rsidR="00EE648F" w:rsidRPr="004D6D00">
        <w:rPr>
          <w:rFonts w:ascii="Times New Roman" w:hAnsi="Times New Roman" w:cs="Times New Roman"/>
          <w:sz w:val="24"/>
          <w:szCs w:val="24"/>
        </w:rPr>
        <w:t xml:space="preserve">Солдатова Г.У., Теславская О.И. Персональные данные </w:t>
      </w:r>
      <w:bookmarkEnd w:id="5"/>
      <w:r w:rsidR="00EE648F" w:rsidRPr="004D6D00">
        <w:rPr>
          <w:rFonts w:ascii="Times New Roman" w:hAnsi="Times New Roman" w:cs="Times New Roman"/>
          <w:sz w:val="24"/>
          <w:szCs w:val="24"/>
        </w:rPr>
        <w:t>и дети: вопросы безопасности // Эпоха науки No 12. Социально-экономические и общественные науки. 2017. No 12. С. 92-102.</w:t>
      </w:r>
    </w:p>
    <w:p w:rsidR="00EE648F" w:rsidRPr="004D6D00" w:rsidRDefault="004D6D00" w:rsidP="004D6D00">
      <w:pPr>
        <w:widowControl w:val="0"/>
        <w:tabs>
          <w:tab w:val="left" w:pos="7200"/>
        </w:tabs>
        <w:spacing w:after="0" w:line="240" w:lineRule="auto"/>
        <w:ind w:firstLine="709"/>
        <w:jc w:val="both"/>
        <w:rPr>
          <w:rFonts w:ascii="Times New Roman" w:hAnsi="Times New Roman" w:cs="Times New Roman"/>
          <w:sz w:val="24"/>
          <w:szCs w:val="24"/>
        </w:rPr>
      </w:pPr>
      <w:bookmarkStart w:id="6" w:name="ЗамечаниеОбщегоПорядка25"/>
      <w:r w:rsidRPr="004D6D00">
        <w:rPr>
          <w:rFonts w:ascii="Times New Roman" w:hAnsi="Times New Roman" w:cs="Times New Roman"/>
          <w:sz w:val="24"/>
          <w:szCs w:val="24"/>
        </w:rPr>
        <w:t xml:space="preserve">6. </w:t>
      </w:r>
      <w:r w:rsidR="00EE648F" w:rsidRPr="004D6D00">
        <w:rPr>
          <w:rFonts w:ascii="Times New Roman" w:hAnsi="Times New Roman" w:cs="Times New Roman"/>
          <w:sz w:val="24"/>
          <w:szCs w:val="24"/>
        </w:rPr>
        <w:t xml:space="preserve">Замечание общего порядка №25 </w:t>
      </w:r>
      <w:bookmarkEnd w:id="6"/>
      <w:r w:rsidR="00EE648F" w:rsidRPr="004D6D00">
        <w:rPr>
          <w:rFonts w:ascii="Times New Roman" w:hAnsi="Times New Roman" w:cs="Times New Roman"/>
          <w:sz w:val="24"/>
          <w:szCs w:val="24"/>
        </w:rPr>
        <w:t>(2021) о правах детей в связи с цифровой средой // Организация Объединенных Наций. – URL: https://й.ohchr.org/ru/documents/general-comments-and-recommendations/general-comment-no-25-2021-childrens-rights-relation (дата обращения: 19.10.2025).</w:t>
      </w:r>
    </w:p>
    <w:p w:rsidR="00EE648F" w:rsidRPr="00B644BF" w:rsidRDefault="00EE648F" w:rsidP="004D6D00">
      <w:pPr>
        <w:spacing w:after="0" w:line="240" w:lineRule="auto"/>
        <w:ind w:firstLine="709"/>
        <w:jc w:val="center"/>
        <w:rPr>
          <w:rFonts w:ascii="Times New Roman" w:hAnsi="Times New Roman" w:cs="Times New Roman"/>
          <w:b/>
          <w:caps/>
          <w:sz w:val="28"/>
        </w:rPr>
      </w:pPr>
      <w:r w:rsidRPr="00B644BF">
        <w:rPr>
          <w:rFonts w:ascii="Times New Roman" w:hAnsi="Times New Roman" w:cs="Times New Roman"/>
          <w:b/>
          <w:caps/>
          <w:sz w:val="28"/>
        </w:rPr>
        <w:lastRenderedPageBreak/>
        <w:t>О компенсации морального вреда в Республике Беларусь</w:t>
      </w:r>
    </w:p>
    <w:p w:rsidR="00EE648F" w:rsidRPr="00B644BF" w:rsidRDefault="00EE648F" w:rsidP="004D6D00">
      <w:pPr>
        <w:spacing w:after="0" w:line="240" w:lineRule="auto"/>
        <w:ind w:firstLine="709"/>
        <w:jc w:val="both"/>
        <w:rPr>
          <w:rFonts w:ascii="Times New Roman" w:hAnsi="Times New Roman" w:cs="Times New Roman"/>
          <w:sz w:val="28"/>
        </w:rPr>
      </w:pPr>
    </w:p>
    <w:p w:rsidR="00EE648F" w:rsidRPr="00B644BF" w:rsidRDefault="00EE648F" w:rsidP="004D6D00">
      <w:pPr>
        <w:spacing w:after="0" w:line="240" w:lineRule="auto"/>
        <w:ind w:firstLine="709"/>
        <w:jc w:val="center"/>
        <w:rPr>
          <w:rFonts w:ascii="Times New Roman" w:hAnsi="Times New Roman" w:cs="Times New Roman"/>
          <w:b/>
          <w:sz w:val="28"/>
        </w:rPr>
      </w:pPr>
      <w:r w:rsidRPr="00B644BF">
        <w:rPr>
          <w:rFonts w:ascii="Times New Roman" w:hAnsi="Times New Roman" w:cs="Times New Roman"/>
          <w:b/>
          <w:sz w:val="28"/>
        </w:rPr>
        <w:t>Куряков Владислав Анатольевич</w:t>
      </w:r>
    </w:p>
    <w:p w:rsidR="00EE648F" w:rsidRPr="00B644BF" w:rsidRDefault="00EE648F" w:rsidP="004D6D00">
      <w:pPr>
        <w:spacing w:after="0" w:line="240" w:lineRule="auto"/>
        <w:ind w:firstLine="709"/>
        <w:jc w:val="center"/>
        <w:rPr>
          <w:rFonts w:ascii="Times New Roman" w:hAnsi="Times New Roman" w:cs="Times New Roman"/>
          <w:sz w:val="28"/>
        </w:rPr>
      </w:pPr>
      <w:r w:rsidRPr="00B644BF">
        <w:rPr>
          <w:rFonts w:ascii="Times New Roman" w:hAnsi="Times New Roman" w:cs="Times New Roman"/>
          <w:sz w:val="28"/>
        </w:rPr>
        <w:t>студент 3 курса специальности «Правоведение»</w:t>
      </w:r>
    </w:p>
    <w:p w:rsidR="00EE648F" w:rsidRPr="00B644BF" w:rsidRDefault="00EE648F" w:rsidP="004D6D00">
      <w:pPr>
        <w:spacing w:after="0" w:line="240" w:lineRule="auto"/>
        <w:ind w:firstLine="709"/>
        <w:jc w:val="center"/>
        <w:rPr>
          <w:rFonts w:ascii="Times New Roman" w:hAnsi="Times New Roman" w:cs="Times New Roman"/>
          <w:sz w:val="28"/>
        </w:rPr>
      </w:pPr>
      <w:r w:rsidRPr="00B644BF">
        <w:rPr>
          <w:rFonts w:ascii="Times New Roman" w:hAnsi="Times New Roman" w:cs="Times New Roman"/>
          <w:sz w:val="28"/>
        </w:rPr>
        <w:t>учреждения образования «Могилевский государственный университет имени А.А. Кулешова» (г. Могилев, Беларусь)</w:t>
      </w:r>
    </w:p>
    <w:p w:rsidR="00EE648F" w:rsidRPr="00B644BF" w:rsidRDefault="00EE648F" w:rsidP="004D6D00">
      <w:pPr>
        <w:spacing w:after="0" w:line="240" w:lineRule="auto"/>
        <w:ind w:firstLine="709"/>
        <w:jc w:val="center"/>
        <w:rPr>
          <w:rFonts w:ascii="Times New Roman" w:hAnsi="Times New Roman" w:cs="Times New Roman"/>
          <w:sz w:val="28"/>
        </w:rPr>
      </w:pPr>
      <w:r w:rsidRPr="00B644BF">
        <w:rPr>
          <w:rFonts w:ascii="Times New Roman" w:hAnsi="Times New Roman" w:cs="Times New Roman"/>
          <w:sz w:val="28"/>
          <w:lang w:val="en-US"/>
        </w:rPr>
        <w:t>ame</w:t>
      </w:r>
      <w:r w:rsidRPr="00B644BF">
        <w:rPr>
          <w:rFonts w:ascii="Times New Roman" w:hAnsi="Times New Roman" w:cs="Times New Roman"/>
          <w:sz w:val="28"/>
        </w:rPr>
        <w:t>713129@</w:t>
      </w:r>
      <w:r w:rsidRPr="00B644BF">
        <w:rPr>
          <w:rFonts w:ascii="Times New Roman" w:hAnsi="Times New Roman" w:cs="Times New Roman"/>
          <w:sz w:val="28"/>
          <w:lang w:val="en-US"/>
        </w:rPr>
        <w:t>gmail</w:t>
      </w:r>
      <w:r w:rsidRPr="00B644BF">
        <w:rPr>
          <w:rFonts w:ascii="Times New Roman" w:hAnsi="Times New Roman" w:cs="Times New Roman"/>
          <w:sz w:val="28"/>
        </w:rPr>
        <w:t>.</w:t>
      </w:r>
      <w:r w:rsidRPr="00B644BF">
        <w:rPr>
          <w:rFonts w:ascii="Times New Roman" w:hAnsi="Times New Roman" w:cs="Times New Roman"/>
          <w:sz w:val="28"/>
          <w:lang w:val="en-US"/>
        </w:rPr>
        <w:t>com</w:t>
      </w:r>
    </w:p>
    <w:p w:rsidR="00EE648F" w:rsidRPr="00B644BF" w:rsidRDefault="00EE648F" w:rsidP="004D6D00">
      <w:pPr>
        <w:spacing w:after="0" w:line="240" w:lineRule="auto"/>
        <w:ind w:firstLine="709"/>
        <w:jc w:val="center"/>
        <w:rPr>
          <w:rFonts w:ascii="Times New Roman" w:hAnsi="Times New Roman" w:cs="Times New Roman"/>
          <w:sz w:val="28"/>
        </w:rPr>
      </w:pPr>
    </w:p>
    <w:p w:rsidR="00EE648F" w:rsidRPr="00B644BF" w:rsidRDefault="00EE648F" w:rsidP="004D6D00">
      <w:pPr>
        <w:spacing w:after="0" w:line="240" w:lineRule="auto"/>
        <w:ind w:firstLine="709"/>
        <w:jc w:val="both"/>
        <w:rPr>
          <w:rFonts w:ascii="Times New Roman" w:hAnsi="Times New Roman" w:cs="Times New Roman"/>
          <w:sz w:val="24"/>
        </w:rPr>
      </w:pPr>
      <w:r w:rsidRPr="00B644BF">
        <w:rPr>
          <w:rFonts w:ascii="Times New Roman" w:hAnsi="Times New Roman" w:cs="Times New Roman"/>
          <w:b/>
          <w:sz w:val="24"/>
        </w:rPr>
        <w:t>Аннотация.</w:t>
      </w:r>
      <w:r w:rsidRPr="00B644BF">
        <w:rPr>
          <w:rFonts w:ascii="Times New Roman" w:hAnsi="Times New Roman" w:cs="Times New Roman"/>
          <w:sz w:val="24"/>
        </w:rPr>
        <w:t xml:space="preserve"> Статья посвящена правовому институту компенсации морального вреда в Республике Беларусь. Рассматриваются понятие и правовая природа морального вреда, основания его компенсации в гражданском, трудовом законодательстве. Анализируются критерии определения размера компенсации, процессуальные особенности подачи исков. Особое внимание уделено проблеме правоприменения в трудовых правоотношениях. В качестве решения предлагается расширить статью 246 Трудового кодекса Республики Беларусь.</w:t>
      </w:r>
    </w:p>
    <w:p w:rsidR="00EE648F" w:rsidRPr="00B644BF" w:rsidRDefault="00EE648F" w:rsidP="004D6D00">
      <w:pPr>
        <w:spacing w:after="0" w:line="240" w:lineRule="auto"/>
        <w:ind w:firstLine="709"/>
        <w:jc w:val="both"/>
        <w:rPr>
          <w:rFonts w:ascii="Times New Roman" w:hAnsi="Times New Roman" w:cs="Times New Roman"/>
          <w:sz w:val="24"/>
        </w:rPr>
      </w:pPr>
      <w:r w:rsidRPr="00B644BF">
        <w:rPr>
          <w:rFonts w:ascii="Times New Roman" w:hAnsi="Times New Roman" w:cs="Times New Roman"/>
          <w:b/>
          <w:sz w:val="24"/>
        </w:rPr>
        <w:t xml:space="preserve">Ключевые слова. </w:t>
      </w:r>
      <w:r w:rsidRPr="00B644BF">
        <w:rPr>
          <w:rFonts w:ascii="Times New Roman" w:hAnsi="Times New Roman" w:cs="Times New Roman"/>
          <w:sz w:val="24"/>
        </w:rPr>
        <w:t>Компенсация морального вреда, возмещение морального вреда, основания компенсации морального вреда, размер компенсации морального вреда.</w:t>
      </w:r>
    </w:p>
    <w:p w:rsidR="00EE648F" w:rsidRPr="00B644BF" w:rsidRDefault="00EE648F" w:rsidP="004D6D00">
      <w:pPr>
        <w:spacing w:after="0" w:line="240" w:lineRule="auto"/>
        <w:ind w:firstLine="709"/>
        <w:jc w:val="both"/>
        <w:rPr>
          <w:rFonts w:ascii="Times New Roman" w:hAnsi="Times New Roman" w:cs="Times New Roman"/>
          <w:sz w:val="24"/>
        </w:rPr>
      </w:pPr>
    </w:p>
    <w:p w:rsidR="00EE648F" w:rsidRPr="00B644BF" w:rsidRDefault="00EE648F" w:rsidP="004D6D00">
      <w:pPr>
        <w:spacing w:after="0" w:line="240" w:lineRule="auto"/>
        <w:ind w:firstLine="709"/>
        <w:jc w:val="both"/>
        <w:rPr>
          <w:rFonts w:ascii="Times New Roman" w:hAnsi="Times New Roman" w:cs="Times New Roman"/>
          <w:i/>
          <w:sz w:val="28"/>
        </w:rPr>
      </w:pPr>
      <w:r w:rsidRPr="00B644BF">
        <w:rPr>
          <w:rFonts w:ascii="Times New Roman" w:hAnsi="Times New Roman" w:cs="Times New Roman"/>
          <w:sz w:val="28"/>
        </w:rPr>
        <w:t>Институт компенсации морального вреда занимает особое место в системе гражданско-правовой защиты. В отличие от имущественного ущерба, который можно точно оценить, страдания человека не имеют рыночной цены. Как можно измерить боль и унижение, не сводя их к сухим цифрам? Данный вопрос лежит в основе одного из самых сложных и противоречивых правовых механизмов – компенсации морального вреда. В данной статье мы рассмотрим правовую природу морального вреда, критерии его оценки и проблемы правоприменения, существующие на сегодняшний день.</w:t>
      </w:r>
    </w:p>
    <w:p w:rsidR="00EE648F" w:rsidRPr="00B644BF" w:rsidRDefault="00EE648F" w:rsidP="004D6D00">
      <w:pPr>
        <w:spacing w:after="0" w:line="240" w:lineRule="auto"/>
        <w:ind w:firstLine="709"/>
        <w:jc w:val="both"/>
        <w:rPr>
          <w:rFonts w:ascii="Times New Roman" w:hAnsi="Times New Roman" w:cs="Times New Roman"/>
          <w:sz w:val="28"/>
        </w:rPr>
      </w:pPr>
      <w:r w:rsidRPr="00B644BF">
        <w:rPr>
          <w:rFonts w:ascii="Times New Roman" w:hAnsi="Times New Roman" w:cs="Times New Roman"/>
          <w:sz w:val="28"/>
        </w:rPr>
        <w:t xml:space="preserve">Компенсация морального вреда является неотъемлемым конституционным правом любого гражданина, закрепленным в части 2 статьи 60 Конституции Республики Беларусь [4]. </w:t>
      </w:r>
    </w:p>
    <w:p w:rsidR="00EE648F" w:rsidRPr="00B644BF" w:rsidRDefault="00EE648F" w:rsidP="004D6D00">
      <w:pPr>
        <w:spacing w:after="0" w:line="240" w:lineRule="auto"/>
        <w:ind w:firstLine="709"/>
        <w:jc w:val="both"/>
        <w:rPr>
          <w:rFonts w:ascii="Times New Roman" w:hAnsi="Times New Roman" w:cs="Times New Roman"/>
          <w:sz w:val="28"/>
        </w:rPr>
      </w:pPr>
      <w:r w:rsidRPr="00B644BF">
        <w:rPr>
          <w:rFonts w:ascii="Times New Roman" w:hAnsi="Times New Roman" w:cs="Times New Roman"/>
          <w:sz w:val="28"/>
        </w:rPr>
        <w:t xml:space="preserve">Разберемся с понятием компенсации морального вреда. Так, в соответствии со статьей 152 Гражданского кодекса Республики Беларусь (далее – ГК) [1], под моральным вредом понимаются физические или нравственные страдания гражданина, вследствие неправомерного посягательства на его личные неимущественные права. Пленум Верховного Суда Республики Беларусь [5] разъяснил, что необходимо понимать под физическими и нравственными страданиями. Так, физические страдания – это физическая боль, функциональное расстройство организма, изменения в эмоционально-волевой сфере и иные отклонения от обычного состояния здоровья, то есть под физическими страданиями понимаются любые изменения в функционировании человеческого организма, возникшие в результате неправомерного посягательства. Под нравственными страданиями понимается чувство </w:t>
      </w:r>
      <w:r w:rsidRPr="00B644BF">
        <w:rPr>
          <w:rFonts w:ascii="Times New Roman" w:hAnsi="Times New Roman" w:cs="Times New Roman"/>
          <w:sz w:val="28"/>
        </w:rPr>
        <w:lastRenderedPageBreak/>
        <w:t>страха, стыда, унижения, и иные переживания связанные, например, с возможной утратой близких, увольнением, утратой либо ограничением иных прав, вследствие неправомерного посягательства.</w:t>
      </w:r>
    </w:p>
    <w:p w:rsidR="00EE648F" w:rsidRPr="00B644BF" w:rsidRDefault="00EE648F" w:rsidP="004D6D00">
      <w:pPr>
        <w:spacing w:after="0" w:line="240" w:lineRule="auto"/>
        <w:ind w:firstLine="709"/>
        <w:jc w:val="both"/>
        <w:rPr>
          <w:rFonts w:ascii="Times New Roman" w:hAnsi="Times New Roman" w:cs="Times New Roman"/>
          <w:sz w:val="28"/>
        </w:rPr>
      </w:pPr>
      <w:r w:rsidRPr="00B644BF">
        <w:rPr>
          <w:rFonts w:ascii="Times New Roman" w:hAnsi="Times New Roman" w:cs="Times New Roman"/>
          <w:sz w:val="28"/>
        </w:rPr>
        <w:t xml:space="preserve">Таким образом, для установления морального вреда необходимо наличие неправомерного посягательства на личные неимущественные права гражданина, наличие физических либо нравственных страданий данного гражданина вследствие неправомерного посягательства на его неимущественные права, а также наличие вины посягающего лица [2, </w:t>
      </w:r>
      <w:r w:rsidRPr="00B644BF">
        <w:rPr>
          <w:rFonts w:ascii="Times New Roman" w:hAnsi="Times New Roman" w:cs="Times New Roman"/>
          <w:sz w:val="28"/>
          <w:lang w:val="en-US"/>
        </w:rPr>
        <w:t>c</w:t>
      </w:r>
      <w:r w:rsidRPr="00B644BF">
        <w:rPr>
          <w:rFonts w:ascii="Times New Roman" w:hAnsi="Times New Roman" w:cs="Times New Roman"/>
          <w:sz w:val="28"/>
        </w:rPr>
        <w:t>. 182-183]. Также, исходя из положения статьи 152 ГК [1] следует, что правом на компенсацию морального вреда обладают только физические лица.</w:t>
      </w:r>
    </w:p>
    <w:p w:rsidR="00EE648F" w:rsidRPr="00B644BF" w:rsidRDefault="00EE648F" w:rsidP="004D6D00">
      <w:pPr>
        <w:spacing w:after="0" w:line="240" w:lineRule="auto"/>
        <w:ind w:firstLine="709"/>
        <w:jc w:val="both"/>
        <w:rPr>
          <w:rFonts w:ascii="Times New Roman" w:hAnsi="Times New Roman" w:cs="Times New Roman"/>
          <w:sz w:val="28"/>
        </w:rPr>
      </w:pPr>
      <w:r w:rsidRPr="00B644BF">
        <w:rPr>
          <w:rFonts w:ascii="Times New Roman" w:hAnsi="Times New Roman" w:cs="Times New Roman"/>
          <w:sz w:val="28"/>
        </w:rPr>
        <w:t>Важно отметить случаи, когда компенсация морального вреда осуществляется независимо от вины причинителя вреда. Так статья 969 ГК [1] устанавливает следующие случаи: причинение вреда жизни и здоровью источником повышенной опасности (однако степень вины будет учитываться при назначении размера компенсации), причинение вреда вследствие применения мер уголовного и административного принуждения, незаконного осуждения, причинения вреда вследствие распространения ложных сведений. Отметим, что данный перечень не является исчерпывающим.</w:t>
      </w:r>
    </w:p>
    <w:p w:rsidR="00EE648F" w:rsidRPr="00B644BF" w:rsidRDefault="00EE648F" w:rsidP="004D6D00">
      <w:pPr>
        <w:spacing w:after="0" w:line="240" w:lineRule="auto"/>
        <w:ind w:firstLine="709"/>
        <w:jc w:val="both"/>
        <w:rPr>
          <w:rFonts w:ascii="Times New Roman" w:hAnsi="Times New Roman" w:cs="Times New Roman"/>
          <w:sz w:val="28"/>
        </w:rPr>
      </w:pPr>
      <w:r w:rsidRPr="00B644BF">
        <w:rPr>
          <w:rFonts w:ascii="Times New Roman" w:hAnsi="Times New Roman" w:cs="Times New Roman"/>
          <w:sz w:val="28"/>
        </w:rPr>
        <w:t>Необходимо учесть, что компенсация морального вреда предусмотренная в нормах ГК [1], может возникать из различных сфер.</w:t>
      </w:r>
    </w:p>
    <w:p w:rsidR="00EE648F" w:rsidRPr="00B644BF" w:rsidRDefault="00EE648F" w:rsidP="004D6D00">
      <w:pPr>
        <w:spacing w:after="0" w:line="240" w:lineRule="auto"/>
        <w:ind w:firstLine="709"/>
        <w:jc w:val="both"/>
        <w:rPr>
          <w:rFonts w:ascii="Times New Roman" w:hAnsi="Times New Roman" w:cs="Times New Roman"/>
          <w:sz w:val="28"/>
        </w:rPr>
      </w:pPr>
      <w:r w:rsidRPr="00B644BF">
        <w:rPr>
          <w:rFonts w:ascii="Times New Roman" w:hAnsi="Times New Roman" w:cs="Times New Roman"/>
          <w:sz w:val="28"/>
        </w:rPr>
        <w:t>Так, Трудовым кодексом Республики Беларусь (далее – ТК) [6] в статье 246 предусмотрена возможность требования работником компенсации морального вреда, причиненным действиями нанимателя, выраженными в незаконном увольнении, незаконном переводом. Важно отметить, что в судебной практике часто встречаются случаи обращения за взысканием компенсации морального вреда в связи с незаконным привлечением работника к дисциплинарного ответственности не связанной с увольнением, задержкой расчета при увольнении и других случаев, однако суд, в данном случае, отказывается от рассмотрения данных дел в виду отсутствия законного основания. Однако на наш взгляд, данный отказ является нарушением конституционного права, предусмотренного статьей 60 Конституции Республики Беларусь [4]. Учитывая, что на практике работники действительно могут испытывать нравственные страдания от неправомерных действий нанимателя, отличных от приведенный в статье 246 ТК [6], считаем необходимым расширить перечень случаев когда возможно компенсация морального вреда в трудовой сфере, предусмотренных статьей 246 ТК [6].</w:t>
      </w:r>
    </w:p>
    <w:p w:rsidR="00EE648F" w:rsidRPr="00B644BF" w:rsidRDefault="00EE648F" w:rsidP="004D6D00">
      <w:pPr>
        <w:spacing w:after="0" w:line="240" w:lineRule="auto"/>
        <w:ind w:firstLine="709"/>
        <w:jc w:val="both"/>
        <w:rPr>
          <w:rFonts w:ascii="Times New Roman" w:hAnsi="Times New Roman" w:cs="Times New Roman"/>
          <w:sz w:val="28"/>
        </w:rPr>
      </w:pPr>
      <w:r w:rsidRPr="00B644BF">
        <w:rPr>
          <w:rFonts w:ascii="Times New Roman" w:hAnsi="Times New Roman" w:cs="Times New Roman"/>
          <w:bCs/>
          <w:sz w:val="28"/>
        </w:rPr>
        <w:t>Компенсация морального вреда, в соответствии со статьей 970 ГК [1] осуществляется в денежной форме добровольно либо в судебном порядке.</w:t>
      </w:r>
    </w:p>
    <w:p w:rsidR="00EE648F" w:rsidRPr="00B644BF" w:rsidRDefault="00EE648F" w:rsidP="004D6D00">
      <w:pPr>
        <w:spacing w:after="0" w:line="240" w:lineRule="auto"/>
        <w:ind w:firstLine="709"/>
        <w:jc w:val="both"/>
        <w:rPr>
          <w:rFonts w:ascii="Times New Roman" w:hAnsi="Times New Roman" w:cs="Times New Roman"/>
          <w:sz w:val="28"/>
        </w:rPr>
      </w:pPr>
      <w:r w:rsidRPr="00B644BF">
        <w:rPr>
          <w:rFonts w:ascii="Times New Roman" w:hAnsi="Times New Roman" w:cs="Times New Roman"/>
          <w:sz w:val="28"/>
        </w:rPr>
        <w:t xml:space="preserve">Вопрос о компенсации морального вреда находится исключительно в компетенции суда в рамках самостоятельного искового требования. </w:t>
      </w:r>
      <w:r w:rsidRPr="00B644BF">
        <w:rPr>
          <w:rFonts w:ascii="Times New Roman" w:hAnsi="Times New Roman" w:cs="Times New Roman"/>
          <w:sz w:val="28"/>
        </w:rPr>
        <w:lastRenderedPageBreak/>
        <w:t xml:space="preserve">Однако необходимо учитывать, что суд не вправе самостоятельно решать вопрос о компенсации морального вреда, если потерпевшая сторона не заявила такого требования. Отметим, что правом на заявление данного требования обладает не только непосредственно потерпевшее лицо, но и иное незаинтересованное лицо, например, законный представитель (в интересах лица, не обладающего полной дееспособностью). </w:t>
      </w:r>
    </w:p>
    <w:p w:rsidR="00EE648F" w:rsidRPr="00B644BF" w:rsidRDefault="00EE648F" w:rsidP="004D6D00">
      <w:pPr>
        <w:spacing w:after="0" w:line="240" w:lineRule="auto"/>
        <w:ind w:firstLine="709"/>
        <w:jc w:val="both"/>
        <w:rPr>
          <w:rFonts w:ascii="Times New Roman" w:hAnsi="Times New Roman" w:cs="Times New Roman"/>
          <w:sz w:val="28"/>
        </w:rPr>
      </w:pPr>
      <w:r w:rsidRPr="00B644BF">
        <w:rPr>
          <w:rFonts w:ascii="Times New Roman" w:hAnsi="Times New Roman" w:cs="Times New Roman"/>
          <w:sz w:val="28"/>
        </w:rPr>
        <w:t>При рассмотрении вопроса о компенсации морального вреда суд использует правила, установленные Кодексом гражданского судопроизводства Республики Беларусь[3] (далее – КГС).</w:t>
      </w:r>
    </w:p>
    <w:p w:rsidR="00EE648F" w:rsidRPr="00B644BF" w:rsidRDefault="00EE648F" w:rsidP="004D6D00">
      <w:pPr>
        <w:spacing w:after="0" w:line="240" w:lineRule="auto"/>
        <w:ind w:firstLine="709"/>
        <w:jc w:val="both"/>
        <w:rPr>
          <w:rFonts w:ascii="Times New Roman" w:hAnsi="Times New Roman" w:cs="Times New Roman"/>
          <w:sz w:val="28"/>
        </w:rPr>
      </w:pPr>
      <w:r w:rsidRPr="00B644BF">
        <w:rPr>
          <w:rFonts w:ascii="Times New Roman" w:hAnsi="Times New Roman" w:cs="Times New Roman"/>
          <w:sz w:val="28"/>
        </w:rPr>
        <w:t>Иск о компенсации морально вреда, по общему правилу закрепленному в статье 238 КГС [3], подается в письменной форме, либо в виде электронного документа (однако для данной формы необходимо наличие электронной цифровой подписи) по правилам территориальной подсудности, закрепленной в статьях 47-48 КГС [3]. Однако УПК [7] в части 3 статьи 149 устанавливает возможность подачи иска в устной форме, с дальнейшим его занесением в протокол по правилам УПК, такой иск подается в суд, рассматривающий данное уголовное дело, однако, в случае не предъявления такого иска, либо оставления его без рассмотрения, истец вправе обратиться с данным иском в порядке гражданского судопроизводства. Важно условием является, что, в соответствии с п. 19 Постановления Пленума Верховного Суда Республики Беларусь от 28.09.2000г. №7 [5], на требования о компенсации морального вреда не распространяются сроки исковой давности.</w:t>
      </w:r>
    </w:p>
    <w:p w:rsidR="00EE648F" w:rsidRPr="00B644BF" w:rsidRDefault="00EE648F" w:rsidP="004D6D00">
      <w:pPr>
        <w:spacing w:after="0" w:line="240" w:lineRule="auto"/>
        <w:ind w:firstLine="709"/>
        <w:jc w:val="both"/>
        <w:rPr>
          <w:rFonts w:ascii="Times New Roman" w:hAnsi="Times New Roman" w:cs="Times New Roman"/>
          <w:sz w:val="28"/>
        </w:rPr>
      </w:pPr>
      <w:r w:rsidRPr="00B644BF">
        <w:rPr>
          <w:rFonts w:ascii="Times New Roman" w:hAnsi="Times New Roman" w:cs="Times New Roman"/>
          <w:sz w:val="28"/>
        </w:rPr>
        <w:t>При подаче иска о компенсации морального вреда, истец должен указать кем, при каких обстоятельствах, какими действиями либо бездействием ему причинен моральный вред, в чем он выражаются, на основании какого нормативного правового акта он просит взыскать моральный вред, а также размер компенсации.</w:t>
      </w:r>
    </w:p>
    <w:p w:rsidR="00EE648F" w:rsidRPr="00B644BF" w:rsidRDefault="00EE648F" w:rsidP="004D6D00">
      <w:pPr>
        <w:spacing w:after="0" w:line="240" w:lineRule="auto"/>
        <w:ind w:firstLine="709"/>
        <w:jc w:val="both"/>
        <w:rPr>
          <w:rFonts w:ascii="Times New Roman" w:hAnsi="Times New Roman" w:cs="Times New Roman"/>
          <w:sz w:val="28"/>
        </w:rPr>
      </w:pPr>
      <w:r w:rsidRPr="00B644BF">
        <w:rPr>
          <w:rFonts w:ascii="Times New Roman" w:hAnsi="Times New Roman" w:cs="Times New Roman"/>
          <w:sz w:val="28"/>
        </w:rPr>
        <w:t>Дальше дело рассматривается по общим правилам гражданского судопроизводства, предусмотренным КГС [3]. Однако отметим, что в соответствии с частью 2 статьи 73 КГС [3], рассмотрение дела о компенсации морального вреда, причиненного органом, ведущим уголовный процесс рассматривается с обязательным участием прокурора.</w:t>
      </w:r>
    </w:p>
    <w:p w:rsidR="00EE648F" w:rsidRPr="00B644BF" w:rsidRDefault="00EE648F" w:rsidP="004D6D00">
      <w:pPr>
        <w:spacing w:after="0" w:line="240" w:lineRule="auto"/>
        <w:ind w:firstLine="709"/>
        <w:jc w:val="both"/>
        <w:rPr>
          <w:rFonts w:ascii="Times New Roman" w:hAnsi="Times New Roman" w:cs="Times New Roman"/>
          <w:sz w:val="28"/>
        </w:rPr>
      </w:pPr>
      <w:r w:rsidRPr="00B644BF">
        <w:rPr>
          <w:rFonts w:ascii="Times New Roman" w:hAnsi="Times New Roman" w:cs="Times New Roman"/>
          <w:sz w:val="28"/>
        </w:rPr>
        <w:t>При удовлетворении иска о компенсации морального вреда и назначении размера компенсации суд исходит из характера причиненных потерпевшему физических и нравственных страданий, фактических обстоятельств, при которых был причинен моральный вред, индивидуальных особенностей потерпевшего, а также степени вины причинителя вреда (в случаях, когда вина является основанием возмещения вреда). Также при определении размера компенсации вреда должны учитываться требования разумности и справедливости.</w:t>
      </w:r>
    </w:p>
    <w:p w:rsidR="00EE648F" w:rsidRPr="00B644BF" w:rsidRDefault="00EE648F" w:rsidP="004D6D00">
      <w:pPr>
        <w:spacing w:after="0" w:line="240" w:lineRule="auto"/>
        <w:ind w:firstLine="709"/>
        <w:jc w:val="both"/>
        <w:rPr>
          <w:rFonts w:ascii="Times New Roman" w:hAnsi="Times New Roman" w:cs="Times New Roman"/>
          <w:sz w:val="28"/>
        </w:rPr>
      </w:pPr>
      <w:r w:rsidRPr="00B644BF">
        <w:rPr>
          <w:rFonts w:ascii="Times New Roman" w:hAnsi="Times New Roman" w:cs="Times New Roman"/>
          <w:sz w:val="28"/>
        </w:rPr>
        <w:t xml:space="preserve">Таким образом, компенсация морального вреда в Республике Беларусь является способом гражданской правовой защиты личных </w:t>
      </w:r>
      <w:r w:rsidRPr="00B644BF">
        <w:rPr>
          <w:rFonts w:ascii="Times New Roman" w:hAnsi="Times New Roman" w:cs="Times New Roman"/>
          <w:sz w:val="28"/>
        </w:rPr>
        <w:lastRenderedPageBreak/>
        <w:t>неимущественных прав и других нематериальных благ гражданина, на который не распространяются сроки исковой давности, размер которого определяется судом по правилам ГК и КГС.</w:t>
      </w:r>
    </w:p>
    <w:p w:rsidR="003B26AA" w:rsidRDefault="003B26AA" w:rsidP="004D6D00">
      <w:pPr>
        <w:spacing w:after="0" w:line="240" w:lineRule="auto"/>
        <w:ind w:firstLine="709"/>
        <w:jc w:val="center"/>
        <w:rPr>
          <w:rFonts w:ascii="Times New Roman" w:hAnsi="Times New Roman" w:cs="Times New Roman"/>
          <w:b/>
          <w:sz w:val="24"/>
          <w:szCs w:val="24"/>
        </w:rPr>
      </w:pPr>
    </w:p>
    <w:p w:rsidR="00EE648F" w:rsidRPr="006A0820" w:rsidRDefault="00EE648F" w:rsidP="004D6D00">
      <w:pPr>
        <w:spacing w:after="0" w:line="240" w:lineRule="auto"/>
        <w:ind w:firstLine="709"/>
        <w:jc w:val="center"/>
        <w:rPr>
          <w:rFonts w:ascii="Times New Roman" w:hAnsi="Times New Roman" w:cs="Times New Roman"/>
          <w:b/>
          <w:sz w:val="28"/>
          <w:szCs w:val="28"/>
        </w:rPr>
      </w:pPr>
      <w:r w:rsidRPr="006A0820">
        <w:rPr>
          <w:rFonts w:ascii="Times New Roman" w:hAnsi="Times New Roman" w:cs="Times New Roman"/>
          <w:b/>
          <w:sz w:val="28"/>
          <w:szCs w:val="28"/>
        </w:rPr>
        <w:t>Список литературы</w:t>
      </w:r>
    </w:p>
    <w:p w:rsidR="00EE648F" w:rsidRPr="00B644BF" w:rsidRDefault="00EE648F" w:rsidP="004D6D00">
      <w:pPr>
        <w:pStyle w:val="a7"/>
        <w:numPr>
          <w:ilvl w:val="0"/>
          <w:numId w:val="10"/>
        </w:numPr>
        <w:spacing w:after="0" w:line="240" w:lineRule="auto"/>
        <w:ind w:left="0" w:firstLine="709"/>
        <w:jc w:val="both"/>
        <w:rPr>
          <w:rFonts w:ascii="Times New Roman" w:hAnsi="Times New Roman" w:cs="Times New Roman"/>
          <w:sz w:val="24"/>
        </w:rPr>
      </w:pPr>
      <w:r w:rsidRPr="00B644BF">
        <w:rPr>
          <w:rFonts w:ascii="Times New Roman" w:hAnsi="Times New Roman" w:cs="Times New Roman"/>
          <w:sz w:val="24"/>
        </w:rPr>
        <w:t>Гражданский кодекс Республики Беларусь : 7 декабря 1998 г. № 218-З : принят Палатой представителей 28 октября 1998 г. : одобр. Советом Респ. 19 ноября 1998 г. : в ред. Закона Респ. Беларусь от 16 марта 2026 г. № 134-З // ЭТАЛОН: информ.-поисковая система (дата обращения 03.05.2026).</w:t>
      </w:r>
    </w:p>
    <w:p w:rsidR="00EE648F" w:rsidRPr="00B644BF" w:rsidRDefault="00EE648F" w:rsidP="004D6D00">
      <w:pPr>
        <w:pStyle w:val="a7"/>
        <w:numPr>
          <w:ilvl w:val="0"/>
          <w:numId w:val="10"/>
        </w:numPr>
        <w:spacing w:after="0" w:line="240" w:lineRule="auto"/>
        <w:ind w:left="0" w:firstLine="709"/>
        <w:jc w:val="both"/>
        <w:rPr>
          <w:rFonts w:ascii="Times New Roman" w:hAnsi="Times New Roman" w:cs="Times New Roman"/>
          <w:sz w:val="24"/>
        </w:rPr>
      </w:pPr>
      <w:r w:rsidRPr="00B644BF">
        <w:rPr>
          <w:rFonts w:ascii="Times New Roman" w:hAnsi="Times New Roman" w:cs="Times New Roman"/>
          <w:sz w:val="24"/>
        </w:rPr>
        <w:t>Гражданское право: особенная часть : электронный учебно-методический комплекс / И.И. Эсмантович, Н.П. Ковалева. – Гомель : Гомель. гос. ун-т им. Ф. Скорины, 2017. – 368 с. – URL: https://elib.gsu.by/handle/123456789/41177  (дата обращения 03.05.2026).</w:t>
      </w:r>
    </w:p>
    <w:p w:rsidR="00EE648F" w:rsidRPr="00B644BF" w:rsidRDefault="00EE648F" w:rsidP="004D6D00">
      <w:pPr>
        <w:pStyle w:val="a7"/>
        <w:numPr>
          <w:ilvl w:val="0"/>
          <w:numId w:val="10"/>
        </w:numPr>
        <w:spacing w:after="0" w:line="240" w:lineRule="auto"/>
        <w:ind w:left="0" w:firstLine="709"/>
        <w:jc w:val="both"/>
        <w:rPr>
          <w:rFonts w:ascii="Times New Roman" w:hAnsi="Times New Roman" w:cs="Times New Roman"/>
          <w:sz w:val="24"/>
        </w:rPr>
      </w:pPr>
      <w:r w:rsidRPr="00B644BF">
        <w:rPr>
          <w:rFonts w:ascii="Times New Roman" w:hAnsi="Times New Roman" w:cs="Times New Roman"/>
          <w:sz w:val="24"/>
        </w:rPr>
        <w:t>Кодекс гражданского судопроизводства Республики Беларусь : 11 марта 2024 г. № 359-З : принят Палатой представителей 31 января 2024 г. : одобр. Советом Респ. 19 февраля 2024 г. : в ред. Закона Респ. Беларусь от 30 дек. 2025 г. № 126-З // ЭТАЛОН: информ.-поисковая система (дата обращения 03.05.2026).</w:t>
      </w:r>
    </w:p>
    <w:p w:rsidR="00EE648F" w:rsidRPr="00B644BF" w:rsidRDefault="00EE648F" w:rsidP="004D6D00">
      <w:pPr>
        <w:pStyle w:val="a7"/>
        <w:numPr>
          <w:ilvl w:val="0"/>
          <w:numId w:val="10"/>
        </w:numPr>
        <w:spacing w:after="0" w:line="240" w:lineRule="auto"/>
        <w:ind w:left="0" w:firstLine="709"/>
        <w:jc w:val="both"/>
        <w:rPr>
          <w:rFonts w:ascii="Times New Roman" w:hAnsi="Times New Roman" w:cs="Times New Roman"/>
          <w:sz w:val="24"/>
        </w:rPr>
      </w:pPr>
      <w:r w:rsidRPr="00B644BF">
        <w:rPr>
          <w:rFonts w:ascii="Times New Roman" w:hAnsi="Times New Roman" w:cs="Times New Roman"/>
          <w:sz w:val="24"/>
          <w:szCs w:val="21"/>
        </w:rPr>
        <w:t>Конституция Республики Беларусь : с изм. и доп., принятыми на респ. референдумах 24 нояб. 1996 г., 17 окт. 2004 г. и 27 февр. 2022 г. – Мн. : Нац. центр законодательства и правовой информ. Респ. Беларусь, 2026. – 77 с.</w:t>
      </w:r>
    </w:p>
    <w:p w:rsidR="00EE648F" w:rsidRPr="00B644BF" w:rsidRDefault="00EE648F" w:rsidP="004D6D00">
      <w:pPr>
        <w:pStyle w:val="a7"/>
        <w:numPr>
          <w:ilvl w:val="0"/>
          <w:numId w:val="10"/>
        </w:numPr>
        <w:spacing w:after="0" w:line="240" w:lineRule="auto"/>
        <w:ind w:left="0" w:firstLine="709"/>
        <w:jc w:val="both"/>
        <w:rPr>
          <w:rFonts w:ascii="Times New Roman" w:hAnsi="Times New Roman" w:cs="Times New Roman"/>
          <w:sz w:val="24"/>
        </w:rPr>
      </w:pPr>
      <w:r w:rsidRPr="00B644BF">
        <w:rPr>
          <w:rFonts w:ascii="Times New Roman" w:hAnsi="Times New Roman" w:cs="Times New Roman"/>
          <w:sz w:val="24"/>
        </w:rPr>
        <w:t>О практике применения судами законодательства, регулирующего компенсацию морального вреда : постановление Пленума Верхов. Суда Респ. Беларусь от 28 сент. 2000 г. №7 : в ред. от 26 марта 2026 г. № 8 // ЭТАЛОН: информ.-поисковая система (дата обращения 03.05.2026).</w:t>
      </w:r>
    </w:p>
    <w:p w:rsidR="00EE648F" w:rsidRPr="00B644BF" w:rsidRDefault="00EE648F" w:rsidP="004D6D00">
      <w:pPr>
        <w:pStyle w:val="a7"/>
        <w:numPr>
          <w:ilvl w:val="0"/>
          <w:numId w:val="10"/>
        </w:numPr>
        <w:spacing w:after="0" w:line="240" w:lineRule="auto"/>
        <w:ind w:left="0" w:firstLine="709"/>
        <w:jc w:val="both"/>
        <w:rPr>
          <w:rFonts w:ascii="Times New Roman" w:hAnsi="Times New Roman" w:cs="Times New Roman"/>
          <w:sz w:val="24"/>
        </w:rPr>
      </w:pPr>
      <w:r w:rsidRPr="00B644BF">
        <w:rPr>
          <w:rFonts w:ascii="Times New Roman" w:hAnsi="Times New Roman" w:cs="Times New Roman"/>
          <w:sz w:val="24"/>
        </w:rPr>
        <w:t>Трудовой кодекс Республики Беларусь : 26 июля 1999 г. № 296-З : принят Палатой представителей 8 июня 1999 г. : одобр. Советом Респ. 30 июня 1999 г. : в ред. Закона Респ. Беларусь от 9 дек. 2025 г. № 110-З // ЭТАЛОН: информ.-поисковая система (дата обращения 03.05.2026).</w:t>
      </w:r>
    </w:p>
    <w:p w:rsidR="00EE648F" w:rsidRPr="00B644BF" w:rsidRDefault="00EE648F" w:rsidP="004D6D00">
      <w:pPr>
        <w:pStyle w:val="a7"/>
        <w:numPr>
          <w:ilvl w:val="0"/>
          <w:numId w:val="10"/>
        </w:numPr>
        <w:spacing w:after="0" w:line="240" w:lineRule="auto"/>
        <w:ind w:left="0" w:firstLine="709"/>
        <w:jc w:val="both"/>
        <w:rPr>
          <w:rFonts w:ascii="Times New Roman" w:hAnsi="Times New Roman" w:cs="Times New Roman"/>
          <w:sz w:val="24"/>
        </w:rPr>
      </w:pPr>
      <w:r w:rsidRPr="00B644BF">
        <w:rPr>
          <w:rFonts w:ascii="Times New Roman" w:hAnsi="Times New Roman" w:cs="Times New Roman"/>
          <w:sz w:val="24"/>
        </w:rPr>
        <w:t>Уголовно-процессуальный кодекс Республики Беларусь : 16 июля 1999 г. № 295-З : принят Палатой представителей 24 июня 1999 г. : одобр. Советом Респ. 30 июня 1999 г. : в ред. Закона Респ. Беларусь от 17 февр. 2025 г. № 61-З // ЭТАЛОН: информ.-поисковая система (дата обращения 03.05.2026).</w:t>
      </w:r>
    </w:p>
    <w:p w:rsidR="00EE648F" w:rsidRPr="00B644BF" w:rsidRDefault="00EE648F" w:rsidP="00EE648F">
      <w:pPr>
        <w:spacing w:after="0" w:line="240" w:lineRule="auto"/>
        <w:ind w:firstLine="709"/>
        <w:jc w:val="both"/>
        <w:rPr>
          <w:rFonts w:ascii="Times New Roman" w:hAnsi="Times New Roman" w:cs="Times New Roman"/>
          <w:sz w:val="24"/>
        </w:rPr>
      </w:pPr>
    </w:p>
    <w:p w:rsidR="00EE648F" w:rsidRPr="00B644BF" w:rsidRDefault="00EE648F" w:rsidP="006A0820">
      <w:pPr>
        <w:widowControl w:val="0"/>
        <w:spacing w:after="0" w:line="240" w:lineRule="auto"/>
        <w:ind w:firstLine="709"/>
        <w:jc w:val="center"/>
        <w:rPr>
          <w:rFonts w:ascii="Times New Roman" w:eastAsia="Times New Roman" w:hAnsi="Times New Roman" w:cs="Times New Roman"/>
          <w:b/>
          <w:bCs/>
          <w:caps/>
          <w:sz w:val="28"/>
          <w:szCs w:val="28"/>
        </w:rPr>
      </w:pPr>
      <w:r w:rsidRPr="00B644BF">
        <w:rPr>
          <w:rFonts w:ascii="Times New Roman" w:eastAsia="Times New Roman" w:hAnsi="Times New Roman" w:cs="Times New Roman"/>
          <w:b/>
          <w:bCs/>
          <w:caps/>
          <w:sz w:val="28"/>
          <w:szCs w:val="28"/>
        </w:rPr>
        <w:t>Методы и средства обработки информации и данных для создания систем поддержки принятия решений в экономическом анализе</w:t>
      </w:r>
    </w:p>
    <w:p w:rsidR="00EE648F" w:rsidRPr="00B644BF" w:rsidRDefault="00EE648F" w:rsidP="006A0820">
      <w:pPr>
        <w:widowControl w:val="0"/>
        <w:spacing w:after="0" w:line="240" w:lineRule="auto"/>
        <w:ind w:firstLine="709"/>
        <w:jc w:val="center"/>
        <w:rPr>
          <w:rFonts w:ascii="Times New Roman" w:hAnsi="Times New Roman" w:cs="Times New Roman"/>
          <w:b/>
          <w:i/>
          <w:sz w:val="28"/>
          <w:szCs w:val="28"/>
        </w:rPr>
      </w:pPr>
    </w:p>
    <w:p w:rsidR="00EE648F" w:rsidRPr="00B644BF" w:rsidRDefault="00EE648F" w:rsidP="006A0820">
      <w:pPr>
        <w:widowControl w:val="0"/>
        <w:spacing w:after="0" w:line="240" w:lineRule="auto"/>
        <w:ind w:firstLine="709"/>
        <w:jc w:val="center"/>
        <w:rPr>
          <w:rFonts w:ascii="Times New Roman" w:hAnsi="Times New Roman" w:cs="Times New Roman"/>
          <w:b/>
          <w:iCs/>
          <w:sz w:val="28"/>
          <w:szCs w:val="20"/>
        </w:rPr>
      </w:pPr>
      <w:r w:rsidRPr="00B644BF">
        <w:rPr>
          <w:rFonts w:ascii="Times New Roman" w:hAnsi="Times New Roman" w:cs="Times New Roman"/>
          <w:b/>
          <w:iCs/>
          <w:sz w:val="28"/>
          <w:szCs w:val="20"/>
        </w:rPr>
        <w:t xml:space="preserve">Латенкова Анна Викторовна </w:t>
      </w:r>
    </w:p>
    <w:p w:rsidR="00EE648F" w:rsidRPr="00B644BF" w:rsidRDefault="00EE648F" w:rsidP="006A0820">
      <w:pPr>
        <w:widowControl w:val="0"/>
        <w:spacing w:after="0" w:line="240" w:lineRule="auto"/>
        <w:ind w:firstLine="709"/>
        <w:jc w:val="center"/>
        <w:rPr>
          <w:rFonts w:ascii="Times New Roman" w:hAnsi="Times New Roman" w:cs="Times New Roman"/>
          <w:bCs/>
          <w:iCs/>
          <w:sz w:val="28"/>
          <w:szCs w:val="20"/>
        </w:rPr>
      </w:pPr>
      <w:r w:rsidRPr="00B644BF">
        <w:rPr>
          <w:rFonts w:ascii="Times New Roman" w:hAnsi="Times New Roman" w:cs="Times New Roman"/>
          <w:bCs/>
          <w:iCs/>
          <w:sz w:val="28"/>
          <w:szCs w:val="20"/>
        </w:rPr>
        <w:t>старший преподаватель кафедры экономики и управления</w:t>
      </w:r>
    </w:p>
    <w:p w:rsidR="00EE648F" w:rsidRPr="00B644BF" w:rsidRDefault="00EE648F" w:rsidP="006A0820">
      <w:pPr>
        <w:widowControl w:val="0"/>
        <w:spacing w:after="0" w:line="240" w:lineRule="auto"/>
        <w:ind w:firstLine="709"/>
        <w:jc w:val="center"/>
        <w:rPr>
          <w:rFonts w:ascii="Times New Roman" w:hAnsi="Times New Roman" w:cs="Times New Roman"/>
          <w:bCs/>
          <w:iCs/>
          <w:sz w:val="28"/>
          <w:szCs w:val="20"/>
        </w:rPr>
      </w:pPr>
      <w:r w:rsidRPr="00B644BF">
        <w:rPr>
          <w:rFonts w:ascii="Times New Roman" w:hAnsi="Times New Roman" w:cs="Times New Roman"/>
          <w:bCs/>
          <w:iCs/>
          <w:sz w:val="28"/>
          <w:szCs w:val="20"/>
        </w:rPr>
        <w:t>учреждения образования «Могилевский государственный университет</w:t>
      </w:r>
    </w:p>
    <w:p w:rsidR="00EE648F" w:rsidRPr="00B644BF" w:rsidRDefault="00EE648F" w:rsidP="006A0820">
      <w:pPr>
        <w:widowControl w:val="0"/>
        <w:spacing w:after="0" w:line="240" w:lineRule="auto"/>
        <w:ind w:firstLine="709"/>
        <w:jc w:val="center"/>
        <w:rPr>
          <w:rFonts w:ascii="Times New Roman" w:hAnsi="Times New Roman" w:cs="Times New Roman"/>
          <w:bCs/>
          <w:iCs/>
          <w:sz w:val="28"/>
          <w:szCs w:val="20"/>
        </w:rPr>
      </w:pPr>
      <w:r w:rsidRPr="00B644BF">
        <w:rPr>
          <w:rFonts w:ascii="Times New Roman" w:hAnsi="Times New Roman" w:cs="Times New Roman"/>
          <w:bCs/>
          <w:iCs/>
          <w:sz w:val="28"/>
          <w:szCs w:val="20"/>
        </w:rPr>
        <w:t>имени А.А. Кулешова»</w:t>
      </w:r>
    </w:p>
    <w:p w:rsidR="00EE648F" w:rsidRPr="00B644BF" w:rsidRDefault="00EE648F" w:rsidP="006A0820">
      <w:pPr>
        <w:widowControl w:val="0"/>
        <w:spacing w:after="0" w:line="240" w:lineRule="auto"/>
        <w:ind w:firstLine="709"/>
        <w:jc w:val="center"/>
        <w:rPr>
          <w:rFonts w:ascii="Times New Roman" w:hAnsi="Times New Roman" w:cs="Times New Roman"/>
          <w:bCs/>
          <w:iCs/>
          <w:sz w:val="28"/>
          <w:szCs w:val="20"/>
        </w:rPr>
      </w:pPr>
      <w:r w:rsidRPr="00B644BF">
        <w:rPr>
          <w:rFonts w:ascii="Times New Roman" w:hAnsi="Times New Roman" w:cs="Times New Roman"/>
          <w:bCs/>
          <w:iCs/>
          <w:sz w:val="28"/>
          <w:szCs w:val="20"/>
        </w:rPr>
        <w:t xml:space="preserve">(г. Могилев, Беларусь) </w:t>
      </w:r>
    </w:p>
    <w:p w:rsidR="00EE648F" w:rsidRPr="00B644BF" w:rsidRDefault="00EE648F" w:rsidP="006A0820">
      <w:pPr>
        <w:widowControl w:val="0"/>
        <w:spacing w:after="0" w:line="240" w:lineRule="auto"/>
        <w:ind w:firstLine="709"/>
        <w:jc w:val="center"/>
        <w:rPr>
          <w:rFonts w:ascii="Times New Roman" w:hAnsi="Times New Roman" w:cs="Times New Roman"/>
          <w:bCs/>
          <w:iCs/>
          <w:sz w:val="28"/>
          <w:szCs w:val="20"/>
        </w:rPr>
      </w:pPr>
      <w:r w:rsidRPr="00B644BF">
        <w:rPr>
          <w:rFonts w:ascii="Times New Roman" w:hAnsi="Times New Roman" w:cs="Times New Roman"/>
          <w:bCs/>
          <w:iCs/>
          <w:sz w:val="28"/>
          <w:szCs w:val="20"/>
          <w:lang w:val="en-US"/>
        </w:rPr>
        <w:t>latenkova</w:t>
      </w:r>
      <w:r w:rsidRPr="00B644BF">
        <w:rPr>
          <w:rFonts w:ascii="Times New Roman" w:hAnsi="Times New Roman" w:cs="Times New Roman"/>
          <w:bCs/>
          <w:iCs/>
          <w:sz w:val="28"/>
          <w:szCs w:val="20"/>
        </w:rPr>
        <w:t>_</w:t>
      </w:r>
      <w:r w:rsidRPr="00B644BF">
        <w:rPr>
          <w:rFonts w:ascii="Times New Roman" w:hAnsi="Times New Roman" w:cs="Times New Roman"/>
          <w:bCs/>
          <w:iCs/>
          <w:sz w:val="28"/>
          <w:szCs w:val="20"/>
          <w:lang w:val="en-US"/>
        </w:rPr>
        <w:t>av</w:t>
      </w:r>
      <w:r w:rsidRPr="00B644BF">
        <w:rPr>
          <w:rFonts w:ascii="Times New Roman" w:hAnsi="Times New Roman" w:cs="Times New Roman"/>
          <w:bCs/>
          <w:iCs/>
          <w:sz w:val="28"/>
          <w:szCs w:val="20"/>
        </w:rPr>
        <w:t>@</w:t>
      </w:r>
      <w:r w:rsidRPr="00B644BF">
        <w:rPr>
          <w:rFonts w:ascii="Times New Roman" w:hAnsi="Times New Roman" w:cs="Times New Roman"/>
          <w:bCs/>
          <w:iCs/>
          <w:sz w:val="28"/>
          <w:szCs w:val="20"/>
          <w:lang w:val="en-US"/>
        </w:rPr>
        <w:t>m</w:t>
      </w:r>
      <w:r w:rsidRPr="00B644BF">
        <w:rPr>
          <w:rFonts w:ascii="Times New Roman" w:hAnsi="Times New Roman" w:cs="Times New Roman"/>
          <w:bCs/>
          <w:iCs/>
          <w:sz w:val="28"/>
          <w:szCs w:val="20"/>
        </w:rPr>
        <w:t>.</w:t>
      </w:r>
      <w:r w:rsidRPr="00B644BF">
        <w:rPr>
          <w:rFonts w:ascii="Times New Roman" w:hAnsi="Times New Roman" w:cs="Times New Roman"/>
          <w:bCs/>
          <w:iCs/>
          <w:sz w:val="28"/>
          <w:szCs w:val="20"/>
          <w:lang w:val="en-US"/>
        </w:rPr>
        <w:t>msu</w:t>
      </w:r>
      <w:r w:rsidRPr="00B644BF">
        <w:rPr>
          <w:rFonts w:ascii="Times New Roman" w:hAnsi="Times New Roman" w:cs="Times New Roman"/>
          <w:bCs/>
          <w:iCs/>
          <w:sz w:val="28"/>
          <w:szCs w:val="20"/>
        </w:rPr>
        <w:t>.</w:t>
      </w:r>
      <w:r w:rsidRPr="00B644BF">
        <w:rPr>
          <w:rFonts w:ascii="Times New Roman" w:hAnsi="Times New Roman" w:cs="Times New Roman"/>
          <w:bCs/>
          <w:iCs/>
          <w:sz w:val="28"/>
          <w:szCs w:val="20"/>
          <w:lang w:val="en-US"/>
        </w:rPr>
        <w:t>by</w:t>
      </w:r>
    </w:p>
    <w:p w:rsidR="00EE648F" w:rsidRPr="00B644BF" w:rsidRDefault="00EE648F" w:rsidP="006A0820">
      <w:pPr>
        <w:widowControl w:val="0"/>
        <w:spacing w:after="0" w:line="240" w:lineRule="auto"/>
        <w:ind w:firstLine="709"/>
        <w:jc w:val="both"/>
        <w:rPr>
          <w:rFonts w:ascii="Times New Roman" w:hAnsi="Times New Roman" w:cs="Times New Roman"/>
          <w:b/>
          <w:iCs/>
          <w:sz w:val="28"/>
          <w:szCs w:val="20"/>
        </w:rPr>
      </w:pPr>
    </w:p>
    <w:p w:rsidR="00EE648F" w:rsidRPr="006A0820" w:rsidRDefault="00EE648F" w:rsidP="006A0820">
      <w:pPr>
        <w:widowControl w:val="0"/>
        <w:spacing w:after="0" w:line="240" w:lineRule="auto"/>
        <w:ind w:firstLine="709"/>
        <w:jc w:val="both"/>
        <w:rPr>
          <w:rFonts w:ascii="Times New Roman" w:hAnsi="Times New Roman" w:cs="Times New Roman"/>
          <w:b/>
          <w:iCs/>
          <w:sz w:val="24"/>
          <w:szCs w:val="24"/>
        </w:rPr>
      </w:pPr>
      <w:r w:rsidRPr="00B644BF">
        <w:rPr>
          <w:rFonts w:ascii="Times New Roman" w:hAnsi="Times New Roman" w:cs="Times New Roman"/>
          <w:b/>
          <w:bCs/>
          <w:sz w:val="24"/>
          <w:szCs w:val="24"/>
        </w:rPr>
        <w:t>Аннотация.</w:t>
      </w:r>
      <w:r w:rsidRPr="00B644BF">
        <w:rPr>
          <w:rFonts w:ascii="Times New Roman" w:hAnsi="Times New Roman" w:cs="Times New Roman"/>
          <w:i/>
          <w:iCs/>
          <w:sz w:val="24"/>
          <w:szCs w:val="24"/>
        </w:rPr>
        <w:t xml:space="preserve"> </w:t>
      </w:r>
      <w:r w:rsidRPr="006A0820">
        <w:rPr>
          <w:rFonts w:ascii="Times New Roman" w:hAnsi="Times New Roman" w:cs="Times New Roman"/>
          <w:iCs/>
          <w:sz w:val="24"/>
          <w:szCs w:val="24"/>
        </w:rPr>
        <w:t xml:space="preserve">Экономический анализ поднялся на новую ступень в связи с применением для обработки экономической информации персональных ЭВМ. В связи с этим автоматизация экономического анализа становится объективной необходимостью </w:t>
      </w:r>
      <w:r w:rsidRPr="006A0820">
        <w:rPr>
          <w:rFonts w:ascii="Times New Roman" w:hAnsi="Times New Roman" w:cs="Times New Roman"/>
          <w:iCs/>
          <w:sz w:val="24"/>
          <w:szCs w:val="24"/>
        </w:rPr>
        <w:lastRenderedPageBreak/>
        <w:t xml:space="preserve">и обусловлена ростом значения качественного информационного обслуживания процесса управления хозяйственной деятельностью, бурным развитием технических возможностей современных ЭВМ, особенностями настоящего периода развития экономики. </w:t>
      </w:r>
    </w:p>
    <w:p w:rsidR="00EE648F" w:rsidRPr="006A0820" w:rsidRDefault="00EE648F" w:rsidP="006A0820">
      <w:pPr>
        <w:widowControl w:val="0"/>
        <w:spacing w:after="0" w:line="240" w:lineRule="auto"/>
        <w:ind w:firstLine="709"/>
        <w:jc w:val="both"/>
        <w:rPr>
          <w:rFonts w:ascii="Times New Roman" w:hAnsi="Times New Roman" w:cs="Times New Roman"/>
          <w:b/>
          <w:sz w:val="24"/>
          <w:szCs w:val="24"/>
        </w:rPr>
      </w:pPr>
      <w:r w:rsidRPr="00B644BF">
        <w:rPr>
          <w:rFonts w:ascii="Times New Roman" w:hAnsi="Times New Roman" w:cs="Times New Roman"/>
          <w:b/>
          <w:iCs/>
          <w:sz w:val="24"/>
          <w:szCs w:val="24"/>
        </w:rPr>
        <w:t>Ключевые слова.</w:t>
      </w:r>
      <w:r w:rsidRPr="00B644BF">
        <w:rPr>
          <w:rFonts w:ascii="Times New Roman" w:hAnsi="Times New Roman" w:cs="Times New Roman"/>
          <w:b/>
          <w:i/>
          <w:sz w:val="24"/>
          <w:szCs w:val="24"/>
        </w:rPr>
        <w:t xml:space="preserve"> </w:t>
      </w:r>
      <w:r w:rsidR="006A0820" w:rsidRPr="006A0820">
        <w:rPr>
          <w:rFonts w:ascii="Times New Roman" w:hAnsi="Times New Roman" w:cs="Times New Roman"/>
          <w:bCs/>
          <w:sz w:val="24"/>
          <w:szCs w:val="24"/>
        </w:rPr>
        <w:t>Э</w:t>
      </w:r>
      <w:r w:rsidRPr="006A0820">
        <w:rPr>
          <w:rFonts w:ascii="Times New Roman" w:hAnsi="Times New Roman" w:cs="Times New Roman"/>
          <w:bCs/>
          <w:sz w:val="24"/>
          <w:szCs w:val="24"/>
        </w:rPr>
        <w:t>кономический анализ, информационные технологии, многомерный анализ, интеллектуальный анализ.</w:t>
      </w:r>
    </w:p>
    <w:p w:rsidR="00EE648F" w:rsidRPr="00B644BF" w:rsidRDefault="00EE648F" w:rsidP="006A0820">
      <w:pPr>
        <w:widowControl w:val="0"/>
        <w:spacing w:after="0" w:line="240" w:lineRule="auto"/>
        <w:ind w:firstLine="709"/>
        <w:jc w:val="both"/>
        <w:rPr>
          <w:rFonts w:ascii="Times New Roman" w:hAnsi="Times New Roman" w:cs="Times New Roman"/>
          <w:sz w:val="28"/>
          <w:szCs w:val="24"/>
        </w:rPr>
      </w:pPr>
    </w:p>
    <w:p w:rsidR="00EE648F" w:rsidRPr="00B644BF" w:rsidRDefault="00EE648F" w:rsidP="006A0820">
      <w:pPr>
        <w:widowControl w:val="0"/>
        <w:spacing w:after="0" w:line="240" w:lineRule="auto"/>
        <w:ind w:firstLine="709"/>
        <w:jc w:val="both"/>
        <w:rPr>
          <w:rFonts w:ascii="Times New Roman" w:hAnsi="Times New Roman" w:cs="Times New Roman"/>
          <w:sz w:val="28"/>
          <w:szCs w:val="24"/>
        </w:rPr>
      </w:pPr>
      <w:r w:rsidRPr="00B644BF">
        <w:rPr>
          <w:rFonts w:ascii="Times New Roman" w:hAnsi="Times New Roman" w:cs="Times New Roman"/>
          <w:sz w:val="28"/>
          <w:szCs w:val="24"/>
        </w:rPr>
        <w:t>Актуальность комплексного экономического анализа при принятии управленческих решений неоспорима, так как он является инструментом планирования, обоснования и контроля управленческих решений и действенным средством выявления внутрихозяйственных резервов.</w:t>
      </w:r>
    </w:p>
    <w:p w:rsidR="00EE648F" w:rsidRPr="00B644BF" w:rsidRDefault="00EE648F" w:rsidP="006A0820">
      <w:pPr>
        <w:widowControl w:val="0"/>
        <w:spacing w:after="0" w:line="240" w:lineRule="auto"/>
        <w:ind w:firstLine="709"/>
        <w:jc w:val="both"/>
        <w:rPr>
          <w:rFonts w:ascii="Times New Roman" w:hAnsi="Times New Roman" w:cs="Times New Roman"/>
          <w:sz w:val="28"/>
          <w:szCs w:val="24"/>
        </w:rPr>
      </w:pPr>
      <w:r w:rsidRPr="00B644BF">
        <w:rPr>
          <w:rFonts w:ascii="Times New Roman" w:hAnsi="Times New Roman" w:cs="Times New Roman"/>
          <w:sz w:val="28"/>
          <w:szCs w:val="24"/>
        </w:rPr>
        <w:t xml:space="preserve">Анализ, проведенный с использованием традиционных методик, позволяет дать общую оценку сложившейся ситуации, выявить отклонение от плана, а также оценить динамику за ряд лет. Однако такой анализ является неполным, поскольку не позволяет учесть все факторы, влияющие на деятельность предприятия. Данный анализ не позволяет перевести данные о работе предприятия из ex post в ex ante форму, преобразовать их в новые знания, необходимые для повышения эффективности функционирования предприятия. Экономический анализ, проводимый с использованием традиционных методик обязателен, но, по сути, является лишь начальным этапам. </w:t>
      </w:r>
    </w:p>
    <w:p w:rsidR="00EE648F" w:rsidRPr="00B644BF" w:rsidRDefault="00EE648F" w:rsidP="006A0820">
      <w:pPr>
        <w:widowControl w:val="0"/>
        <w:spacing w:after="0" w:line="240" w:lineRule="auto"/>
        <w:ind w:firstLine="709"/>
        <w:jc w:val="both"/>
        <w:rPr>
          <w:rFonts w:ascii="Times New Roman" w:hAnsi="Times New Roman" w:cs="Times New Roman"/>
          <w:sz w:val="28"/>
          <w:szCs w:val="24"/>
        </w:rPr>
      </w:pPr>
      <w:r w:rsidRPr="00B644BF">
        <w:rPr>
          <w:rFonts w:ascii="Times New Roman" w:hAnsi="Times New Roman" w:cs="Times New Roman"/>
          <w:sz w:val="28"/>
          <w:szCs w:val="24"/>
        </w:rPr>
        <w:t>Высокая динамичность современной бизнес-среды, ориентированной на удовлетворение нужд и потребностей потребителей, требует применения адекватных методов и средств оптимального управления предприятиями. Поэтому организации оцениваются не столько по своему потенциалу, сколько по тому, как быстро они мобилизует свои интеллектуальные, информационные и прочие ресурсы для решения возникающих проблем [1, с. 54]. В результате особую актуальность приобретают методы и средства принятия качественных управленческих решений, а успешное решение поставленных задач невозможно без применения современных информационных технологий. Большие объемы информации, необходимость повышения оперативности, выявления неявных факторов, скрытых закономерностей при принятии управленческих решений обуславливает применение неклассических методов анализа, которые предоставляют современные информационные технологии, таких как многомерный (OLAP) и интеллектуальный (Data Mining) анализ.</w:t>
      </w:r>
    </w:p>
    <w:p w:rsidR="00EE648F" w:rsidRPr="00B644BF" w:rsidRDefault="00EE648F" w:rsidP="006A0820">
      <w:pPr>
        <w:widowControl w:val="0"/>
        <w:spacing w:after="0" w:line="240" w:lineRule="auto"/>
        <w:ind w:firstLine="709"/>
        <w:jc w:val="both"/>
        <w:rPr>
          <w:rFonts w:ascii="Times New Roman" w:hAnsi="Times New Roman" w:cs="Times New Roman"/>
          <w:sz w:val="28"/>
          <w:szCs w:val="24"/>
        </w:rPr>
      </w:pPr>
      <w:r w:rsidRPr="00B644BF">
        <w:rPr>
          <w:rFonts w:ascii="Times New Roman" w:hAnsi="Times New Roman" w:cs="Times New Roman"/>
          <w:sz w:val="28"/>
          <w:szCs w:val="24"/>
        </w:rPr>
        <w:t>Трактовка сущности технологии OLAP (On-Line Analytical Processing – оперативная аналитическая обработка) неоднородна, представлена многими авторами (</w:t>
      </w:r>
      <w:r w:rsidRPr="00B644BF">
        <w:rPr>
          <w:rFonts w:ascii="Times New Roman" w:eastAsia="Times New Roman" w:hAnsi="Times New Roman" w:cs="Times New Roman"/>
          <w:iCs/>
          <w:sz w:val="28"/>
          <w:szCs w:val="28"/>
        </w:rPr>
        <w:t>Федорова Г.В, Лабоцкий В.В., Давыдова Л.А. и др.</w:t>
      </w:r>
      <w:r w:rsidRPr="00B644BF">
        <w:rPr>
          <w:rFonts w:ascii="Times New Roman" w:hAnsi="Times New Roman" w:cs="Times New Roman"/>
          <w:sz w:val="28"/>
          <w:szCs w:val="24"/>
        </w:rPr>
        <w:t xml:space="preserve">). Таким образом, OLAP представляет собой «не отдельно взятый программный продукт, не язык программирования и даже не конкретную технологию, а совокупность концепций, принципов и требований, лежащих в основе программных продуктов, облегчающих аналитикам </w:t>
      </w:r>
      <w:r w:rsidRPr="00B644BF">
        <w:rPr>
          <w:rFonts w:ascii="Times New Roman" w:hAnsi="Times New Roman" w:cs="Times New Roman"/>
          <w:sz w:val="28"/>
          <w:szCs w:val="24"/>
        </w:rPr>
        <w:lastRenderedPageBreak/>
        <w:t xml:space="preserve">доступ к данным» [3]. </w:t>
      </w:r>
    </w:p>
    <w:p w:rsidR="00EE648F" w:rsidRPr="00B644BF" w:rsidRDefault="00EE648F" w:rsidP="006A0820">
      <w:pPr>
        <w:widowControl w:val="0"/>
        <w:spacing w:after="0" w:line="240" w:lineRule="auto"/>
        <w:ind w:firstLine="709"/>
        <w:jc w:val="both"/>
        <w:rPr>
          <w:rFonts w:ascii="Times New Roman" w:hAnsi="Times New Roman" w:cs="Times New Roman"/>
          <w:sz w:val="28"/>
          <w:szCs w:val="24"/>
        </w:rPr>
      </w:pPr>
      <w:r w:rsidRPr="00B644BF">
        <w:rPr>
          <w:rFonts w:ascii="Times New Roman" w:hAnsi="Times New Roman" w:cs="Times New Roman"/>
          <w:sz w:val="28"/>
          <w:szCs w:val="24"/>
        </w:rPr>
        <w:t>OLAP-системы имеют возможность хранения информации различными вариантами: и детальные (оперативные) и агрегатные данные могут храниться либо в реляционных, либо в многомерных структурах. В зависимости от этого существуют различные варианты OLAP-систем. Следует отметить, что каждый, обладает своими преимуществами и недостатками. Использование OLAP-технологий позволит аналитикам, менеджерам и руководителям «проникнуть в суть» накопленных данных за счет быстрого и согласованного доступа к широкому спектру представлений информации с любым уровнем детализации. Все это позволяет вывести средний уровень менеджмента организации на качественно новую ступень, посредством реализации компьютерной поддержки решений на базе достижений IT-прогресса [2, с. 56].</w:t>
      </w:r>
    </w:p>
    <w:p w:rsidR="00EE648F" w:rsidRPr="00B644BF" w:rsidRDefault="00EE648F" w:rsidP="006A0820">
      <w:pPr>
        <w:widowControl w:val="0"/>
        <w:spacing w:after="0" w:line="240" w:lineRule="auto"/>
        <w:ind w:firstLine="709"/>
        <w:jc w:val="both"/>
        <w:rPr>
          <w:rFonts w:ascii="Times New Roman" w:hAnsi="Times New Roman" w:cs="Times New Roman"/>
          <w:sz w:val="28"/>
          <w:szCs w:val="24"/>
        </w:rPr>
      </w:pPr>
      <w:r w:rsidRPr="00B644BF">
        <w:rPr>
          <w:rFonts w:ascii="Times New Roman" w:hAnsi="Times New Roman" w:cs="Times New Roman"/>
          <w:sz w:val="28"/>
          <w:szCs w:val="24"/>
        </w:rPr>
        <w:t xml:space="preserve">Использование OLAP-технологий позволяет проводить анализ, используя большие массивы данных, представлять эти данные в удобной для восприятия форме. Этот подход визуализирует данные в виде многомерных кубов над которыми в последствии можно совершать различные действия: «разрезание», «сворачивание», «поворачивание» и т.д. OLAP позволяет анализировать данные, накопленные в системе, с разных сторон и точек зрения, в разной итоговой форме, с пользовательскими расчетами и агрегированием, а также можно строить максимально гибкие и сложные пользовательские отчеты с действительно произвольным набором аргументов и расчетов для удовлетворения потребностей в бизнес-ориентированной отчетности. </w:t>
      </w:r>
    </w:p>
    <w:p w:rsidR="00EE648F" w:rsidRPr="00B644BF" w:rsidRDefault="00EE648F" w:rsidP="006A0820">
      <w:pPr>
        <w:widowControl w:val="0"/>
        <w:spacing w:after="0" w:line="240" w:lineRule="auto"/>
        <w:ind w:firstLine="709"/>
        <w:jc w:val="both"/>
        <w:rPr>
          <w:rFonts w:ascii="Times New Roman" w:hAnsi="Times New Roman" w:cs="Times New Roman"/>
          <w:sz w:val="28"/>
          <w:szCs w:val="24"/>
        </w:rPr>
      </w:pPr>
      <w:r w:rsidRPr="00B644BF">
        <w:rPr>
          <w:rFonts w:ascii="Times New Roman" w:hAnsi="Times New Roman" w:cs="Times New Roman"/>
          <w:sz w:val="28"/>
          <w:szCs w:val="24"/>
        </w:rPr>
        <w:t xml:space="preserve">Однако, несмотря на все преимущества OLAP-анализа, он не позволяет проводить глубокую аналитическую работу, направленную на выявление скрытых закономерностей среди анализируемых показателей. «Для повышения жизнеспособности и усиления конкурентного преимущества предприятий необходимо использовать интеллектуальный анализа данных (Data Mining или DM), который для многих зарубежных компаний стал частью экономической стратегии, так как позволяет на основе обработки огромных массивов информации получать новые знания, выявляя неявные закономерности» [4, с. 193]. </w:t>
      </w:r>
    </w:p>
    <w:p w:rsidR="00EE648F" w:rsidRPr="00B644BF" w:rsidRDefault="00EE648F" w:rsidP="006A0820">
      <w:pPr>
        <w:widowControl w:val="0"/>
        <w:spacing w:after="0" w:line="240" w:lineRule="auto"/>
        <w:ind w:firstLine="709"/>
        <w:jc w:val="both"/>
        <w:rPr>
          <w:rFonts w:ascii="Times New Roman" w:hAnsi="Times New Roman" w:cs="Times New Roman"/>
          <w:sz w:val="28"/>
          <w:szCs w:val="24"/>
        </w:rPr>
      </w:pPr>
      <w:r w:rsidRPr="00B644BF">
        <w:rPr>
          <w:rFonts w:ascii="Times New Roman" w:hAnsi="Times New Roman" w:cs="Times New Roman"/>
          <w:sz w:val="28"/>
          <w:szCs w:val="24"/>
        </w:rPr>
        <w:t>Учитывая интеллектуальный характер управленческой деятельности для решения сложных аналитических задач технологии Data Mining являются наиболее совершенным инструментом.</w:t>
      </w:r>
    </w:p>
    <w:p w:rsidR="00EE648F" w:rsidRPr="00B644BF" w:rsidRDefault="00EE648F" w:rsidP="006A0820">
      <w:pPr>
        <w:widowControl w:val="0"/>
        <w:spacing w:after="0" w:line="240" w:lineRule="auto"/>
        <w:ind w:firstLine="709"/>
        <w:jc w:val="both"/>
        <w:rPr>
          <w:rFonts w:ascii="Times New Roman" w:hAnsi="Times New Roman" w:cs="Times New Roman"/>
          <w:sz w:val="28"/>
          <w:szCs w:val="24"/>
        </w:rPr>
      </w:pPr>
      <w:r w:rsidRPr="00B644BF">
        <w:rPr>
          <w:rFonts w:ascii="Times New Roman" w:hAnsi="Times New Roman" w:cs="Times New Roman"/>
          <w:sz w:val="28"/>
          <w:szCs w:val="24"/>
        </w:rPr>
        <w:t xml:space="preserve">Data Mining  являясь совокупностью математических моделей, численных методов, программных средств и информационных технологий, обеспечивающих обнаружение в эмпирических данных доступной для интерпретации информации и синтез на основе этой информации ранее неизвестных, нетривиальных и практически полезных знаний [5, с. 362], помогает решить множество ранее не решаемых задач в следствии нетривиальности разыскиваемых шаблонов и включает в себя такие этапы </w:t>
      </w:r>
      <w:r w:rsidRPr="00B644BF">
        <w:rPr>
          <w:rFonts w:ascii="Times New Roman" w:hAnsi="Times New Roman" w:cs="Times New Roman"/>
          <w:sz w:val="28"/>
          <w:szCs w:val="24"/>
        </w:rPr>
        <w:lastRenderedPageBreak/>
        <w:t xml:space="preserve">как отбор информации, ее преобразование, получение знаний и их интерпретация. </w:t>
      </w:r>
    </w:p>
    <w:p w:rsidR="00EE648F" w:rsidRPr="00B644BF" w:rsidRDefault="00EE648F" w:rsidP="006A0820">
      <w:pPr>
        <w:widowControl w:val="0"/>
        <w:spacing w:after="0" w:line="240" w:lineRule="auto"/>
        <w:ind w:firstLine="709"/>
        <w:jc w:val="both"/>
        <w:rPr>
          <w:rFonts w:ascii="Times New Roman" w:hAnsi="Times New Roman" w:cs="Times New Roman"/>
          <w:sz w:val="28"/>
          <w:szCs w:val="24"/>
        </w:rPr>
      </w:pPr>
      <w:r w:rsidRPr="00B644BF">
        <w:rPr>
          <w:rFonts w:ascii="Times New Roman" w:hAnsi="Times New Roman" w:cs="Times New Roman"/>
          <w:sz w:val="28"/>
          <w:szCs w:val="24"/>
        </w:rPr>
        <w:t>Успех применения систем Data Mining основан на том, что эти технологии обеспечивают исследование эмпирических данных и выявление в них скрытых закономерностей различных видов. Они основаны на мощном математическом и статистическом аппарате, корректное применение которого позволяет достичь высоких результатов.</w:t>
      </w:r>
    </w:p>
    <w:p w:rsidR="00EE648F" w:rsidRPr="00B644BF" w:rsidRDefault="00EE648F" w:rsidP="006A0820">
      <w:pPr>
        <w:widowControl w:val="0"/>
        <w:spacing w:after="0" w:line="240" w:lineRule="auto"/>
        <w:ind w:firstLine="709"/>
        <w:jc w:val="both"/>
        <w:rPr>
          <w:rFonts w:ascii="Times New Roman" w:hAnsi="Times New Roman" w:cs="Times New Roman"/>
          <w:sz w:val="28"/>
          <w:szCs w:val="24"/>
        </w:rPr>
      </w:pPr>
      <w:r w:rsidRPr="00B644BF">
        <w:rPr>
          <w:rFonts w:ascii="Times New Roman" w:hAnsi="Times New Roman" w:cs="Times New Roman"/>
          <w:sz w:val="28"/>
          <w:szCs w:val="24"/>
        </w:rPr>
        <w:t>Таким образом, результаты проведения комплексного анализа, с использованием, как традиционной методологии, так и методологии многомерного и интеллектуального анализа, представленные в табличном и графическом видах, позволяют наиболее полно отразить сложившуюся ситуацию, а также показывают выявленные закономерности, которые лицо, принимающее решение не могло бы выявить самостоятельно. Тем самым полученные знания помогают принимать обоснованные управленческие решения и вырабатывать оптимальную стратегию дальнейшего развития предприятия.</w:t>
      </w:r>
    </w:p>
    <w:p w:rsidR="00EE648F" w:rsidRPr="00B644BF" w:rsidRDefault="00EE648F" w:rsidP="006A0820">
      <w:pPr>
        <w:widowControl w:val="0"/>
        <w:spacing w:after="0" w:line="240" w:lineRule="auto"/>
        <w:ind w:firstLine="709"/>
        <w:jc w:val="both"/>
        <w:rPr>
          <w:rFonts w:ascii="Times New Roman" w:hAnsi="Times New Roman" w:cs="Times New Roman"/>
          <w:sz w:val="28"/>
          <w:szCs w:val="24"/>
        </w:rPr>
      </w:pPr>
    </w:p>
    <w:p w:rsidR="00EE648F" w:rsidRPr="006A0820" w:rsidRDefault="00EE648F" w:rsidP="006A0820">
      <w:pPr>
        <w:widowControl w:val="0"/>
        <w:spacing w:after="0" w:line="240" w:lineRule="auto"/>
        <w:ind w:firstLine="709"/>
        <w:jc w:val="center"/>
        <w:rPr>
          <w:rFonts w:ascii="Times New Roman" w:hAnsi="Times New Roman" w:cs="Times New Roman"/>
          <w:b/>
          <w:bCs/>
          <w:iCs/>
          <w:sz w:val="28"/>
          <w:szCs w:val="28"/>
        </w:rPr>
      </w:pPr>
      <w:r w:rsidRPr="006A0820">
        <w:rPr>
          <w:rFonts w:ascii="Times New Roman" w:hAnsi="Times New Roman" w:cs="Times New Roman"/>
          <w:b/>
          <w:bCs/>
          <w:iCs/>
          <w:sz w:val="28"/>
          <w:szCs w:val="28"/>
        </w:rPr>
        <w:t>Список литературы</w:t>
      </w:r>
    </w:p>
    <w:p w:rsidR="00EE648F" w:rsidRPr="00B644BF" w:rsidRDefault="00EE648F" w:rsidP="006A0820">
      <w:pPr>
        <w:pStyle w:val="a7"/>
        <w:widowControl w:val="0"/>
        <w:numPr>
          <w:ilvl w:val="0"/>
          <w:numId w:val="11"/>
        </w:numPr>
        <w:spacing w:after="0" w:line="240" w:lineRule="auto"/>
        <w:ind w:left="0" w:firstLine="709"/>
        <w:jc w:val="both"/>
        <w:rPr>
          <w:rFonts w:ascii="Times New Roman" w:hAnsi="Times New Roman" w:cs="Times New Roman"/>
          <w:sz w:val="24"/>
          <w:szCs w:val="24"/>
        </w:rPr>
      </w:pPr>
      <w:r w:rsidRPr="00B644BF">
        <w:rPr>
          <w:rFonts w:ascii="Times New Roman" w:hAnsi="Times New Roman" w:cs="Times New Roman"/>
          <w:sz w:val="24"/>
          <w:szCs w:val="24"/>
        </w:rPr>
        <w:t>Нетесова, О. Ю.  Информационные системы и технологии в экономике : учеб. пособие для вузов / О. Ю. Нетесова. – 3-е изд., испр. и доп. – М. : Издательство Юрайт, 2022. – 178 с.</w:t>
      </w:r>
    </w:p>
    <w:p w:rsidR="00EE648F" w:rsidRPr="00B644BF" w:rsidRDefault="00EE648F" w:rsidP="006A0820">
      <w:pPr>
        <w:pStyle w:val="a7"/>
        <w:widowControl w:val="0"/>
        <w:numPr>
          <w:ilvl w:val="0"/>
          <w:numId w:val="11"/>
        </w:numPr>
        <w:spacing w:after="0" w:line="240" w:lineRule="auto"/>
        <w:ind w:left="0" w:firstLine="709"/>
        <w:jc w:val="both"/>
        <w:rPr>
          <w:rFonts w:ascii="Times New Roman" w:hAnsi="Times New Roman" w:cs="Times New Roman"/>
          <w:sz w:val="24"/>
          <w:szCs w:val="24"/>
        </w:rPr>
      </w:pPr>
      <w:r w:rsidRPr="00B644BF">
        <w:rPr>
          <w:rFonts w:ascii="Times New Roman" w:hAnsi="Times New Roman" w:cs="Times New Roman"/>
          <w:sz w:val="24"/>
          <w:szCs w:val="24"/>
        </w:rPr>
        <w:t>Лавренова, О. А. Информационные технологии в экономике : пособие: в 2 ч. / О. А. Лавренова, Б. А. Железко ; Белорусский национальный технический университет, Кафедра «Инженерная экономика». – Минск : БНТУ, 2021. – Ч. 1. – 129 с.</w:t>
      </w:r>
    </w:p>
    <w:p w:rsidR="00EE648F" w:rsidRPr="00B644BF" w:rsidRDefault="00EE648F" w:rsidP="006A0820">
      <w:pPr>
        <w:pStyle w:val="a7"/>
        <w:widowControl w:val="0"/>
        <w:numPr>
          <w:ilvl w:val="0"/>
          <w:numId w:val="11"/>
        </w:numPr>
        <w:spacing w:after="0" w:line="240" w:lineRule="auto"/>
        <w:ind w:left="0" w:firstLine="709"/>
        <w:jc w:val="both"/>
        <w:rPr>
          <w:rFonts w:ascii="Times New Roman" w:hAnsi="Times New Roman" w:cs="Times New Roman"/>
          <w:sz w:val="24"/>
          <w:szCs w:val="24"/>
        </w:rPr>
      </w:pPr>
      <w:r w:rsidRPr="00B644BF">
        <w:rPr>
          <w:rFonts w:ascii="Times New Roman" w:hAnsi="Times New Roman" w:cs="Times New Roman"/>
          <w:sz w:val="24"/>
          <w:szCs w:val="24"/>
        </w:rPr>
        <w:t>OLAP системы [Электронный ресурс] // KPMS ведущее агентство по связям с общественностью. – Режим доступа: https://www.kpms.ru/Automatization/OLAP_system.htm. – Дата доступа: 30.14.2026.</w:t>
      </w:r>
    </w:p>
    <w:p w:rsidR="00EE648F" w:rsidRPr="00B644BF" w:rsidRDefault="00EE648F" w:rsidP="006A0820">
      <w:pPr>
        <w:pStyle w:val="a7"/>
        <w:widowControl w:val="0"/>
        <w:numPr>
          <w:ilvl w:val="0"/>
          <w:numId w:val="11"/>
        </w:numPr>
        <w:spacing w:after="0" w:line="240" w:lineRule="auto"/>
        <w:ind w:left="0" w:firstLine="709"/>
        <w:jc w:val="both"/>
        <w:rPr>
          <w:rFonts w:ascii="Times New Roman" w:hAnsi="Times New Roman" w:cs="Times New Roman"/>
          <w:sz w:val="24"/>
          <w:szCs w:val="24"/>
        </w:rPr>
      </w:pPr>
      <w:r w:rsidRPr="00B644BF">
        <w:rPr>
          <w:rFonts w:ascii="Times New Roman" w:hAnsi="Times New Roman" w:cs="Times New Roman"/>
          <w:sz w:val="24"/>
          <w:szCs w:val="24"/>
        </w:rPr>
        <w:t xml:space="preserve">Технологии анализа данных: </w:t>
      </w:r>
      <w:r w:rsidRPr="00B644BF">
        <w:rPr>
          <w:rFonts w:ascii="Times New Roman" w:hAnsi="Times New Roman" w:cs="Times New Roman"/>
          <w:sz w:val="24"/>
          <w:szCs w:val="24"/>
          <w:lang w:val="en-US"/>
        </w:rPr>
        <w:t>Data</w:t>
      </w:r>
      <w:r w:rsidRPr="00B644BF">
        <w:rPr>
          <w:rFonts w:ascii="Times New Roman" w:hAnsi="Times New Roman" w:cs="Times New Roman"/>
          <w:sz w:val="24"/>
          <w:szCs w:val="24"/>
        </w:rPr>
        <w:t xml:space="preserve"> </w:t>
      </w:r>
      <w:r w:rsidRPr="00B644BF">
        <w:rPr>
          <w:rFonts w:ascii="Times New Roman" w:hAnsi="Times New Roman" w:cs="Times New Roman"/>
          <w:sz w:val="24"/>
          <w:szCs w:val="24"/>
          <w:lang w:val="en-US"/>
        </w:rPr>
        <w:t>Mining</w:t>
      </w:r>
      <w:r w:rsidRPr="00B644BF">
        <w:rPr>
          <w:rFonts w:ascii="Times New Roman" w:hAnsi="Times New Roman" w:cs="Times New Roman"/>
          <w:sz w:val="24"/>
          <w:szCs w:val="24"/>
        </w:rPr>
        <w:t>,</w:t>
      </w:r>
      <w:r w:rsidRPr="00B644BF">
        <w:rPr>
          <w:rFonts w:ascii="Times New Roman" w:hAnsi="Times New Roman" w:cs="Times New Roman"/>
          <w:sz w:val="24"/>
          <w:szCs w:val="24"/>
          <w:lang w:val="en-US"/>
        </w:rPr>
        <w:t>Visual</w:t>
      </w:r>
      <w:r w:rsidRPr="00B644BF">
        <w:rPr>
          <w:rFonts w:ascii="Times New Roman" w:hAnsi="Times New Roman" w:cs="Times New Roman"/>
          <w:sz w:val="24"/>
          <w:szCs w:val="24"/>
        </w:rPr>
        <w:t xml:space="preserve"> </w:t>
      </w:r>
      <w:r w:rsidRPr="00B644BF">
        <w:rPr>
          <w:rFonts w:ascii="Times New Roman" w:hAnsi="Times New Roman" w:cs="Times New Roman"/>
          <w:sz w:val="24"/>
          <w:szCs w:val="24"/>
          <w:lang w:val="en-US"/>
        </w:rPr>
        <w:t>Mining</w:t>
      </w:r>
      <w:r w:rsidRPr="00B644BF">
        <w:rPr>
          <w:rFonts w:ascii="Times New Roman" w:hAnsi="Times New Roman" w:cs="Times New Roman"/>
          <w:sz w:val="24"/>
          <w:szCs w:val="24"/>
        </w:rPr>
        <w:t xml:space="preserve">, </w:t>
      </w:r>
      <w:r w:rsidRPr="00B644BF">
        <w:rPr>
          <w:rFonts w:ascii="Times New Roman" w:hAnsi="Times New Roman" w:cs="Times New Roman"/>
          <w:sz w:val="24"/>
          <w:szCs w:val="24"/>
          <w:lang w:val="en-US"/>
        </w:rPr>
        <w:t>Text</w:t>
      </w:r>
      <w:r w:rsidRPr="00B644BF">
        <w:rPr>
          <w:rFonts w:ascii="Times New Roman" w:hAnsi="Times New Roman" w:cs="Times New Roman"/>
          <w:sz w:val="24"/>
          <w:szCs w:val="24"/>
        </w:rPr>
        <w:t xml:space="preserve"> </w:t>
      </w:r>
      <w:r w:rsidRPr="00B644BF">
        <w:rPr>
          <w:rFonts w:ascii="Times New Roman" w:hAnsi="Times New Roman" w:cs="Times New Roman"/>
          <w:sz w:val="24"/>
          <w:szCs w:val="24"/>
          <w:lang w:val="en-US"/>
        </w:rPr>
        <w:t>Mining</w:t>
      </w:r>
      <w:r w:rsidRPr="00B644BF">
        <w:rPr>
          <w:rFonts w:ascii="Times New Roman" w:hAnsi="Times New Roman" w:cs="Times New Roman"/>
          <w:sz w:val="24"/>
          <w:szCs w:val="24"/>
        </w:rPr>
        <w:t xml:space="preserve">, </w:t>
      </w:r>
      <w:r w:rsidRPr="00B644BF">
        <w:rPr>
          <w:rFonts w:ascii="Times New Roman" w:hAnsi="Times New Roman" w:cs="Times New Roman"/>
          <w:sz w:val="24"/>
          <w:szCs w:val="24"/>
          <w:lang w:val="en-US"/>
        </w:rPr>
        <w:t>OLAP</w:t>
      </w:r>
      <w:r w:rsidRPr="00B644BF">
        <w:rPr>
          <w:rFonts w:ascii="Times New Roman" w:hAnsi="Times New Roman" w:cs="Times New Roman"/>
          <w:sz w:val="24"/>
          <w:szCs w:val="24"/>
        </w:rPr>
        <w:t xml:space="preserve"> / А. А. Барсегян [и др.]. – 2-е изд., перераб. и доп. – СПб. : БХВ-Петербург, 2017. – 384 с.</w:t>
      </w:r>
    </w:p>
    <w:p w:rsidR="00EE648F" w:rsidRPr="00B644BF" w:rsidRDefault="00EE648F" w:rsidP="006A0820">
      <w:pPr>
        <w:pStyle w:val="a7"/>
        <w:widowControl w:val="0"/>
        <w:numPr>
          <w:ilvl w:val="0"/>
          <w:numId w:val="11"/>
        </w:numPr>
        <w:spacing w:after="0" w:line="240" w:lineRule="auto"/>
        <w:ind w:left="0" w:firstLine="709"/>
        <w:jc w:val="both"/>
        <w:rPr>
          <w:rFonts w:ascii="Times New Roman" w:hAnsi="Times New Roman" w:cs="Times New Roman"/>
          <w:sz w:val="28"/>
          <w:lang w:val="en-US"/>
        </w:rPr>
      </w:pPr>
      <w:r w:rsidRPr="00B644BF">
        <w:rPr>
          <w:rFonts w:ascii="Times New Roman" w:hAnsi="Times New Roman" w:cs="Times New Roman"/>
          <w:sz w:val="24"/>
          <w:szCs w:val="24"/>
        </w:rPr>
        <w:t>Туманов, В. Е. Проектирование хранилищ данных для систем бизнес-аналитики / В. Е. Туманов. – 2-е изд. – М. : Нац. Открытый Ун-т «ИНТУИТ», 2016. –  958 с.</w:t>
      </w:r>
    </w:p>
    <w:p w:rsidR="006A0820" w:rsidRDefault="006A0820" w:rsidP="0030059A">
      <w:pPr>
        <w:spacing w:after="0" w:line="240" w:lineRule="auto"/>
        <w:jc w:val="center"/>
        <w:rPr>
          <w:rFonts w:ascii="Times New Roman" w:hAnsi="Times New Roman" w:cs="Times New Roman"/>
          <w:b/>
          <w:sz w:val="28"/>
          <w:szCs w:val="28"/>
        </w:rPr>
      </w:pPr>
    </w:p>
    <w:p w:rsidR="0030059A" w:rsidRPr="00B644BF" w:rsidRDefault="0030059A" w:rsidP="002C7821">
      <w:pPr>
        <w:spacing w:after="0" w:line="240" w:lineRule="auto"/>
        <w:ind w:firstLine="709"/>
        <w:jc w:val="center"/>
        <w:rPr>
          <w:rFonts w:ascii="Times New Roman" w:hAnsi="Times New Roman" w:cs="Times New Roman"/>
          <w:b/>
          <w:sz w:val="28"/>
          <w:szCs w:val="28"/>
        </w:rPr>
      </w:pPr>
      <w:r w:rsidRPr="00B644BF">
        <w:rPr>
          <w:rFonts w:ascii="Times New Roman" w:hAnsi="Times New Roman" w:cs="Times New Roman"/>
          <w:b/>
          <w:sz w:val="28"/>
          <w:szCs w:val="28"/>
        </w:rPr>
        <w:t>ДЕЯТЕЛЬНОСТЬ КОМИТЕТА ПО ПРИЗРЕНИЮ ДЕТЕЙ ЛИЦ ПОГИБШИХ В РУССКО-ЯПОНСКОЙ ВОЙНЕ В ГРОДНЕНСКОЙ ГУБЕРНИИ В 1904–1916 ГГ.</w:t>
      </w:r>
    </w:p>
    <w:p w:rsidR="0030059A" w:rsidRPr="00B644BF" w:rsidRDefault="0030059A" w:rsidP="002C7821">
      <w:pPr>
        <w:spacing w:after="0" w:line="240" w:lineRule="auto"/>
        <w:ind w:firstLine="709"/>
        <w:jc w:val="center"/>
        <w:rPr>
          <w:rFonts w:ascii="Times New Roman" w:hAnsi="Times New Roman" w:cs="Times New Roman"/>
          <w:sz w:val="28"/>
          <w:szCs w:val="28"/>
        </w:rPr>
      </w:pPr>
    </w:p>
    <w:p w:rsidR="0030059A" w:rsidRPr="00B644BF" w:rsidRDefault="0030059A" w:rsidP="002C7821">
      <w:pPr>
        <w:spacing w:after="0" w:line="240" w:lineRule="auto"/>
        <w:ind w:firstLine="709"/>
        <w:jc w:val="center"/>
        <w:rPr>
          <w:rFonts w:ascii="Times New Roman" w:hAnsi="Times New Roman" w:cs="Times New Roman"/>
          <w:b/>
          <w:sz w:val="28"/>
          <w:szCs w:val="28"/>
        </w:rPr>
      </w:pPr>
      <w:r w:rsidRPr="00B644BF">
        <w:rPr>
          <w:rFonts w:ascii="Times New Roman" w:hAnsi="Times New Roman" w:cs="Times New Roman"/>
          <w:b/>
          <w:sz w:val="28"/>
          <w:szCs w:val="28"/>
        </w:rPr>
        <w:t>Малеев Николай Геннадьевич</w:t>
      </w:r>
    </w:p>
    <w:p w:rsidR="0030059A" w:rsidRPr="00B644BF" w:rsidRDefault="0030059A" w:rsidP="002C7821">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 xml:space="preserve">преподаватель истории </w:t>
      </w:r>
    </w:p>
    <w:p w:rsidR="0030059A" w:rsidRPr="00B644BF" w:rsidRDefault="0030059A" w:rsidP="002C7821">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учреждения образования «Гродненский государственный музыкальный колледж»; аспирант, учреждения образования «Гродненский государственный университет имени Янки Купалы»</w:t>
      </w:r>
    </w:p>
    <w:p w:rsidR="0030059A" w:rsidRPr="00B644BF" w:rsidRDefault="0030059A" w:rsidP="002C7821">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(г. Гродно, Беларусь)</w:t>
      </w:r>
    </w:p>
    <w:p w:rsidR="0030059A" w:rsidRPr="00B644BF" w:rsidRDefault="00F975FD" w:rsidP="002C7821">
      <w:pPr>
        <w:spacing w:after="0" w:line="240" w:lineRule="auto"/>
        <w:ind w:firstLine="709"/>
        <w:jc w:val="center"/>
        <w:rPr>
          <w:rFonts w:ascii="Times New Roman" w:hAnsi="Times New Roman" w:cs="Times New Roman"/>
          <w:sz w:val="28"/>
          <w:szCs w:val="28"/>
        </w:rPr>
      </w:pPr>
      <w:hyperlink r:id="rId15" w:history="1">
        <w:r w:rsidR="0030059A" w:rsidRPr="00B644BF">
          <w:rPr>
            <w:rStyle w:val="a5"/>
            <w:rFonts w:ascii="Times New Roman" w:hAnsi="Times New Roman" w:cs="Times New Roman"/>
            <w:color w:val="auto"/>
            <w:sz w:val="28"/>
            <w:szCs w:val="28"/>
            <w:u w:val="none"/>
            <w:lang w:val="en-US"/>
          </w:rPr>
          <w:t>maleev</w:t>
        </w:r>
        <w:r w:rsidR="0030059A" w:rsidRPr="00B644BF">
          <w:rPr>
            <w:rStyle w:val="a5"/>
            <w:rFonts w:ascii="Times New Roman" w:hAnsi="Times New Roman" w:cs="Times New Roman"/>
            <w:color w:val="auto"/>
            <w:sz w:val="28"/>
            <w:szCs w:val="28"/>
            <w:u w:val="none"/>
          </w:rPr>
          <w:t>.</w:t>
        </w:r>
        <w:r w:rsidR="0030059A" w:rsidRPr="00B644BF">
          <w:rPr>
            <w:rStyle w:val="a5"/>
            <w:rFonts w:ascii="Times New Roman" w:hAnsi="Times New Roman" w:cs="Times New Roman"/>
            <w:color w:val="auto"/>
            <w:sz w:val="28"/>
            <w:szCs w:val="28"/>
            <w:u w:val="none"/>
            <w:lang w:val="en-US"/>
          </w:rPr>
          <w:t>nicolas</w:t>
        </w:r>
        <w:r w:rsidR="0030059A" w:rsidRPr="00B644BF">
          <w:rPr>
            <w:rStyle w:val="a5"/>
            <w:rFonts w:ascii="Times New Roman" w:hAnsi="Times New Roman" w:cs="Times New Roman"/>
            <w:color w:val="auto"/>
            <w:sz w:val="28"/>
            <w:szCs w:val="28"/>
            <w:u w:val="none"/>
          </w:rPr>
          <w:t>@</w:t>
        </w:r>
        <w:r w:rsidR="0030059A" w:rsidRPr="00B644BF">
          <w:rPr>
            <w:rStyle w:val="a5"/>
            <w:rFonts w:ascii="Times New Roman" w:hAnsi="Times New Roman" w:cs="Times New Roman"/>
            <w:color w:val="auto"/>
            <w:sz w:val="28"/>
            <w:szCs w:val="28"/>
            <w:u w:val="none"/>
            <w:lang w:val="en-US"/>
          </w:rPr>
          <w:t>yandex</w:t>
        </w:r>
        <w:r w:rsidR="0030059A" w:rsidRPr="00B644BF">
          <w:rPr>
            <w:rStyle w:val="a5"/>
            <w:rFonts w:ascii="Times New Roman" w:hAnsi="Times New Roman" w:cs="Times New Roman"/>
            <w:color w:val="auto"/>
            <w:sz w:val="28"/>
            <w:szCs w:val="28"/>
            <w:u w:val="none"/>
          </w:rPr>
          <w:t>.</w:t>
        </w:r>
        <w:r w:rsidR="0030059A" w:rsidRPr="00B644BF">
          <w:rPr>
            <w:rStyle w:val="a5"/>
            <w:rFonts w:ascii="Times New Roman" w:hAnsi="Times New Roman" w:cs="Times New Roman"/>
            <w:color w:val="auto"/>
            <w:sz w:val="28"/>
            <w:szCs w:val="28"/>
            <w:u w:val="none"/>
            <w:lang w:val="en-US"/>
          </w:rPr>
          <w:t>by</w:t>
        </w:r>
      </w:hyperlink>
    </w:p>
    <w:p w:rsidR="0030059A" w:rsidRPr="00B644BF" w:rsidRDefault="0030059A" w:rsidP="002C7821">
      <w:pPr>
        <w:spacing w:after="0" w:line="240" w:lineRule="auto"/>
        <w:ind w:firstLine="709"/>
        <w:jc w:val="both"/>
        <w:rPr>
          <w:rFonts w:ascii="Times New Roman" w:hAnsi="Times New Roman" w:cs="Times New Roman"/>
          <w:b/>
          <w:sz w:val="28"/>
          <w:szCs w:val="28"/>
        </w:rPr>
      </w:pPr>
    </w:p>
    <w:p w:rsidR="0030059A" w:rsidRPr="00B644BF" w:rsidRDefault="0030059A" w:rsidP="002C7821">
      <w:pPr>
        <w:spacing w:after="0" w:line="240" w:lineRule="auto"/>
        <w:ind w:firstLine="709"/>
        <w:jc w:val="both"/>
        <w:rPr>
          <w:rFonts w:ascii="Times New Roman" w:hAnsi="Times New Roman" w:cs="Times New Roman"/>
          <w:sz w:val="24"/>
          <w:szCs w:val="24"/>
        </w:rPr>
      </w:pPr>
      <w:r w:rsidRPr="00B644BF">
        <w:rPr>
          <w:rFonts w:ascii="Times New Roman" w:hAnsi="Times New Roman" w:cs="Times New Roman"/>
          <w:b/>
          <w:sz w:val="24"/>
          <w:szCs w:val="24"/>
        </w:rPr>
        <w:lastRenderedPageBreak/>
        <w:t>Аннотация</w:t>
      </w:r>
      <w:r w:rsidR="002C7821">
        <w:rPr>
          <w:rFonts w:ascii="Times New Roman" w:hAnsi="Times New Roman" w:cs="Times New Roman"/>
          <w:b/>
          <w:sz w:val="24"/>
          <w:szCs w:val="24"/>
        </w:rPr>
        <w:t>.</w:t>
      </w:r>
      <w:r w:rsidRPr="00B644BF">
        <w:rPr>
          <w:rFonts w:ascii="Times New Roman" w:hAnsi="Times New Roman" w:cs="Times New Roman"/>
          <w:sz w:val="24"/>
          <w:szCs w:val="24"/>
        </w:rPr>
        <w:t xml:space="preserve"> В статье анализируется деятельность комитета по призрению детей лиц погибших в русско-японской войне на территории Гродненской губернии. Комитет, созданный для помощи детям лиц погибших в русско-японской войне, в дальнейшем расширял категории лиц, нуждающихся в помощи. Под попечительство комитета попадали дети следующих лиц: погибших, пострадавших или без вести пропавших в русско-японской войне.</w:t>
      </w:r>
    </w:p>
    <w:p w:rsidR="0030059A" w:rsidRPr="00B644BF" w:rsidRDefault="0030059A" w:rsidP="002C7821">
      <w:pPr>
        <w:spacing w:after="0" w:line="240" w:lineRule="auto"/>
        <w:ind w:firstLine="709"/>
        <w:jc w:val="both"/>
        <w:rPr>
          <w:rFonts w:ascii="Times New Roman" w:hAnsi="Times New Roman" w:cs="Times New Roman"/>
          <w:sz w:val="24"/>
          <w:szCs w:val="24"/>
        </w:rPr>
      </w:pPr>
      <w:r w:rsidRPr="00B644BF">
        <w:rPr>
          <w:rFonts w:ascii="Times New Roman" w:hAnsi="Times New Roman" w:cs="Times New Roman"/>
          <w:b/>
          <w:sz w:val="24"/>
          <w:szCs w:val="24"/>
        </w:rPr>
        <w:t>Ключевые слова</w:t>
      </w:r>
      <w:r w:rsidR="002C7821">
        <w:rPr>
          <w:rFonts w:ascii="Times New Roman" w:hAnsi="Times New Roman" w:cs="Times New Roman"/>
          <w:b/>
          <w:sz w:val="24"/>
          <w:szCs w:val="24"/>
        </w:rPr>
        <w:t>.</w:t>
      </w:r>
      <w:r w:rsidRPr="00B644BF">
        <w:rPr>
          <w:rFonts w:ascii="Times New Roman" w:hAnsi="Times New Roman" w:cs="Times New Roman"/>
          <w:sz w:val="24"/>
          <w:szCs w:val="24"/>
        </w:rPr>
        <w:t xml:space="preserve"> Российская империя, Гродненская губерния, комитет, попечительство, помощь, погибшие, Алексеевский комитет, русско-японская война. </w:t>
      </w:r>
    </w:p>
    <w:p w:rsidR="0030059A" w:rsidRPr="00B644BF" w:rsidRDefault="0030059A" w:rsidP="002C7821">
      <w:pPr>
        <w:spacing w:after="0" w:line="240" w:lineRule="auto"/>
        <w:ind w:firstLine="709"/>
        <w:jc w:val="both"/>
        <w:rPr>
          <w:rFonts w:ascii="Times New Roman" w:hAnsi="Times New Roman" w:cs="Times New Roman"/>
          <w:b/>
          <w:sz w:val="28"/>
          <w:szCs w:val="28"/>
        </w:rPr>
      </w:pPr>
    </w:p>
    <w:p w:rsidR="0030059A" w:rsidRPr="00B644BF" w:rsidRDefault="0030059A" w:rsidP="002C7821">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В период военных действий в </w:t>
      </w:r>
      <w:r w:rsidRPr="00B644BF">
        <w:rPr>
          <w:rFonts w:ascii="Times New Roman" w:hAnsi="Times New Roman" w:cs="Times New Roman"/>
          <w:sz w:val="28"/>
          <w:szCs w:val="28"/>
          <w:lang w:val="en-US"/>
        </w:rPr>
        <w:t>XIX</w:t>
      </w:r>
      <w:r w:rsidRPr="00B644BF">
        <w:rPr>
          <w:rFonts w:ascii="Times New Roman" w:hAnsi="Times New Roman" w:cs="Times New Roman"/>
          <w:sz w:val="28"/>
          <w:szCs w:val="28"/>
        </w:rPr>
        <w:t xml:space="preserve"> – начале </w:t>
      </w:r>
      <w:r w:rsidRPr="00B644BF">
        <w:rPr>
          <w:rFonts w:ascii="Times New Roman" w:hAnsi="Times New Roman" w:cs="Times New Roman"/>
          <w:sz w:val="28"/>
          <w:szCs w:val="28"/>
          <w:lang w:val="en-US"/>
        </w:rPr>
        <w:t>XX</w:t>
      </w:r>
      <w:r w:rsidRPr="00B644BF">
        <w:rPr>
          <w:rFonts w:ascii="Times New Roman" w:hAnsi="Times New Roman" w:cs="Times New Roman"/>
          <w:sz w:val="28"/>
          <w:szCs w:val="28"/>
        </w:rPr>
        <w:t xml:space="preserve"> в. в Российской империи учреждались различные комитеты для оказания помощи как самим пострадавшим, так и их семьям. Одним из таких комитетов, появившихся в начале X</w:t>
      </w:r>
      <w:r w:rsidRPr="00B644BF">
        <w:rPr>
          <w:rFonts w:ascii="Times New Roman" w:hAnsi="Times New Roman" w:cs="Times New Roman"/>
          <w:sz w:val="28"/>
          <w:szCs w:val="28"/>
          <w:lang w:val="en-US"/>
        </w:rPr>
        <w:t>X</w:t>
      </w:r>
      <w:r w:rsidRPr="00B644BF">
        <w:rPr>
          <w:rFonts w:ascii="Times New Roman" w:hAnsi="Times New Roman" w:cs="Times New Roman"/>
          <w:sz w:val="28"/>
          <w:szCs w:val="28"/>
        </w:rPr>
        <w:t xml:space="preserve"> в., являлся «Комитет по призрению детей лиц погибших в русско-японской войне». </w:t>
      </w:r>
    </w:p>
    <w:p w:rsidR="0030059A" w:rsidRPr="00B644BF" w:rsidRDefault="0030059A" w:rsidP="002C7821">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Указом Сената от 1905 г. повсеместно создавались губернские и уездные комитеты по опеке детей военнослужащих, погибших в войну с Японией. Возглавлялись на местах данные комитеты предводителями дворянства; в состав комитета входили городской голова и представители городского общественного управления [8, с. 212].</w:t>
      </w:r>
    </w:p>
    <w:p w:rsidR="0030059A" w:rsidRPr="00B644BF" w:rsidRDefault="0030059A" w:rsidP="002C7821">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Комитет состоял под покровительством императрицы Марии Федоровны и являлся межведомственной организацией [9, с. 217–219]. Председателем Алексеевского комитета, являлся член государственного совета П.П. Семенов-Тянь-Шанский. Состав членов комитета был следующим: обер-гофмейстерины светлейшей княгини М.М. Голицыной, супруги статс-секретаря графа М.А. Сольской, статс-секретаря барона А.А. Будберга, тайного советника А.С. Стишинского, статс-секретаря А.С. Танеева и барона Ю.А. Икскуль-фон-Гильденбандта, при управляющем делами егермейстере А.Ф. Трепове [7, с. 298–299]. На содержание сирот выдавалось ежегодное пособие: в возрасте до 6 лет – в размере 75 рублей, от 6 до 10 лет – 125 рублей и после 10 лет – 300 рублей на каждого ребенка [7, с. 298–299].</w:t>
      </w:r>
    </w:p>
    <w:p w:rsidR="0030059A" w:rsidRPr="00B644BF" w:rsidRDefault="0030059A" w:rsidP="002C7821">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География комитета была связана с границами Гродненской губернии: Гродненский уезд, Слонимский, Волковысский, Кобринский и другие уезды. </w:t>
      </w:r>
    </w:p>
    <w:p w:rsidR="0030059A" w:rsidRPr="00B644BF" w:rsidRDefault="0030059A" w:rsidP="002C7821">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В состав уездных комитетов, в частности Гродненского и Слонимского, входили следующие волости: Шиловичская, Добронельская, Бытенская, Дятловская, Жировицкая, Коссовская, Марьинская, Ружанская, Старовенская, Чемерская, Боркинская, Песковская, Козловская, Скидельская, Берштовская, Озерская, Вертелишская, Каменская, станция Доманово.</w:t>
      </w:r>
    </w:p>
    <w:p w:rsidR="0030059A" w:rsidRPr="00B644BF" w:rsidRDefault="0030059A" w:rsidP="002C7821">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30 марта 1910 г., согласно циркулярному письму Алексеевского Комитета, предлагалось принять широкие меры по оповещению проживающего населения в Гродненской губернии, на предмет того, какие дети могут воспользоваться пособием. Если комитет первоначально </w:t>
      </w:r>
      <w:r w:rsidRPr="00B644BF">
        <w:rPr>
          <w:rFonts w:ascii="Times New Roman" w:hAnsi="Times New Roman" w:cs="Times New Roman"/>
          <w:sz w:val="28"/>
          <w:szCs w:val="28"/>
        </w:rPr>
        <w:lastRenderedPageBreak/>
        <w:t xml:space="preserve">создавался как организация помощи, чьи родители погибли в войне с Японией, то в дальнейшем, спустя шесть лет, рамки помощи комитета значительно расширились. Теперь пособием комитета могли воспользоваться «дети погибших или пострадавших от преступных деяний совершенных с политической целью» [1, л. 16]. Полагались пособия следующим лицам: состоявших на службе государственной (по гражданскому, военному и военно-морскому ведомствам), а также служивших в правительственных организациях; состоявших на службе общественной и сословной; священнослужителей и церковнослужителей, и духовных лиц всех вероисповеданий, а также служивших в духовных учреждениях; служивших на железнодорожных поездах и пароходах, а также, на кого были возложены обязанности по охране общественного порядка; дворников, сторожей и других лиц, если на них было возложено исполнение каких-либо полицейских обязанностей; всех остальных лиц, убитых или утративших трудоспособность вследствие участия в задержании или обнаружении лиц, заподозренных в преступных делах, совершенных с политической целью, а равно в предупреждении или обнаружении самого преступления [1, л. 16 об.]. </w:t>
      </w:r>
    </w:p>
    <w:p w:rsidR="0030059A" w:rsidRPr="00B644BF" w:rsidRDefault="0030059A" w:rsidP="002C7821">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Под свое покровительство, Алексеевский Комитет принимал также детей офицерского звания или приравниваемому к нему. Для этого, необходимо было предоставить в комитет следующие сведения: сведения о пострадавшем лице (формулярный список или указ об отставке); в случае если пострадавшее лицо осталось в живых – акт медицинского освидетельствования об утрате им трудоспособности, а также удостоверение от начальства о недостаточности его имущественного положения; метрические свидетельства детей; сведения о том, не состоят ли дети в учебных заведениях, (если состоят, то в каком именно классе), не пользуются ли они стипендиями или не освобождены ли они от платы и от какой именно [1, л. 16 об.]. Дети нижних чинов – комитет их также принимал под свое покровительство, с той разницей, что более детально предоставлялась информация по двум направлениям, а именно: погибших при посягательстве на них и утративших трудоспособность при посягательстве на них. Относительно погибших, необходимо было предоставить в комитет следующие сведения: сведения о личности и служебном положении погибшего; имя вдовы и сведения и семейном положении погибшего, с указанием возраста  детей; точное указание местности, где проживала семья погибшего в момент его смерти (город, селение, уезд и губерния). Что касается лиц утративших трудоспособность при посягательстве на них, то предоставлялись в комитет следующая информация: сведения о личности и служебном положении утратившего трудоспособность; сведения о его семейном положении; акт медицинского освидетельствования об утрате трудоспособности; сведения об </w:t>
      </w:r>
      <w:r w:rsidRPr="00B644BF">
        <w:rPr>
          <w:rFonts w:ascii="Times New Roman" w:hAnsi="Times New Roman" w:cs="Times New Roman"/>
          <w:sz w:val="28"/>
          <w:szCs w:val="28"/>
        </w:rPr>
        <w:lastRenderedPageBreak/>
        <w:t xml:space="preserve">имущественном положении; сведения о постоянном месте жительства нижнего чина [1, л. 16 об.].   </w:t>
      </w:r>
    </w:p>
    <w:p w:rsidR="0030059A" w:rsidRPr="00B644BF" w:rsidRDefault="0030059A" w:rsidP="002C7821">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В постановлении комитета отмечалось, что в случае смерти или переезда детей, необходимо прекращать выплаты [3, л. 26–26 об.]. Суммы, которые оставались не выданными, после смерти детей или их переезда в другую губернию, необходимо было возвращать в Главное казначейство, а также сообщать комитету точные сведения о новом месте жительства, в случае переезда детей. </w:t>
      </w:r>
    </w:p>
    <w:p w:rsidR="0030059A" w:rsidRPr="00B644BF" w:rsidRDefault="0030059A" w:rsidP="002C7821">
      <w:pPr>
        <w:spacing w:after="0" w:line="240" w:lineRule="auto"/>
        <w:ind w:firstLine="709"/>
        <w:jc w:val="both"/>
        <w:rPr>
          <w:rFonts w:ascii="Times New Roman" w:hAnsi="Times New Roman" w:cs="Times New Roman"/>
          <w:b/>
          <w:sz w:val="28"/>
          <w:szCs w:val="28"/>
        </w:rPr>
      </w:pPr>
      <w:r w:rsidRPr="00B644BF">
        <w:rPr>
          <w:rFonts w:ascii="Times New Roman" w:hAnsi="Times New Roman" w:cs="Times New Roman"/>
          <w:sz w:val="28"/>
          <w:szCs w:val="28"/>
        </w:rPr>
        <w:t>Ярким примером тому, что оказывалась помощь пострадавшим повсеместно во время подавления беспорядков, является описываемый случай в фондах Национального исторического архива Беларуси в г. Гродно [1, л. 42–42 об.], имевший место быть в Гродненской губернии. 28 августа 1906 г. в Гродно был убит злоумышленниками жандармский подполковник Николай Антонович Грибоедов. В связи с этим, губернатор просит Гродненский уездный комитет по призрению детей лиц, погибших в войну с Японией выяснить: семейное положение, есть ли дети, если есть, то необходимо предоставить выписку о рождении, о местонахождении, и об обучении его детей [1, л. 42–42 об.]. Как итог, была оказана помощь семье погибшего жандармского подполковника.</w:t>
      </w:r>
    </w:p>
    <w:p w:rsidR="0030059A" w:rsidRPr="00B644BF" w:rsidRDefault="0030059A" w:rsidP="002C7821">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Можно отметить другой случай, также произошедший в Гродненской губернии, но в 1910 г. Степан Михайлович Шишло, в прошлом – городовой с. Сестрорецка, Санкт-Петербургской губернии, который лишился трудоспособности при исполнении служебных обязанностей. Данный случай разбирало губернское правление в связи с тем, что в настоящее время бывший городовой проживал в д. Оздобичи, Каменской волости, Гродненской губернии.</w:t>
      </w:r>
      <w:r w:rsidRPr="00B644BF">
        <w:rPr>
          <w:rFonts w:ascii="Times New Roman" w:hAnsi="Times New Roman" w:cs="Times New Roman"/>
          <w:b/>
          <w:sz w:val="28"/>
          <w:szCs w:val="28"/>
        </w:rPr>
        <w:t xml:space="preserve"> </w:t>
      </w:r>
      <w:r w:rsidRPr="00B644BF">
        <w:rPr>
          <w:rFonts w:ascii="Times New Roman" w:hAnsi="Times New Roman" w:cs="Times New Roman"/>
          <w:sz w:val="28"/>
          <w:szCs w:val="28"/>
        </w:rPr>
        <w:t>В связи с этим, Гродненский губернатор просит выяснить все детали, при которых бывший городовой лишился трудоспособности. Ссылаясь на распоряжения Государственного совета от 22 апреля 1906 г. комитет отмечал, что помощь полагается детям нижних чинов, лишившихся трудоспособности при подавлении беспорядков и других служебных действиях, а также при исполнении служебных обязанностей, но когда покушения были направлены на них, как на служащих полиции или корпуса жандармов, то «пособия могут быть назначены лишь в особо уважительных случаях» [1, л. 60–60 об.]. В описываемом случае, также, комитетом была оказана помощь семье пострадавшего.</w:t>
      </w:r>
    </w:p>
    <w:p w:rsidR="0030059A" w:rsidRPr="00B644BF" w:rsidRDefault="0030059A" w:rsidP="002C7821">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Имели место случаи, когда пособия выдавались на конкретные цели. Так, например, жительнице Брестского уезда, Марии Сильвестровой Козловской, комитет выдавал 30 рублей пособия на приобретение для ее детей, Веры и Владимира, следующих вещей: обуви, теплой одежды и письменных принадлежностей [4, л. 62]. </w:t>
      </w:r>
    </w:p>
    <w:p w:rsidR="0030059A" w:rsidRPr="00B644BF" w:rsidRDefault="0030059A" w:rsidP="002C7821">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8 мая 1914 г. произошли изменения в названии комитета. Он был переименован из «Комитета по призрению детей лиц погибших в русско-</w:t>
      </w:r>
      <w:r w:rsidRPr="00B644BF">
        <w:rPr>
          <w:rFonts w:ascii="Times New Roman" w:hAnsi="Times New Roman" w:cs="Times New Roman"/>
          <w:sz w:val="28"/>
          <w:szCs w:val="28"/>
        </w:rPr>
        <w:lastRenderedPageBreak/>
        <w:t>японской войне» в «Комитет по призрению детей, состоящих под покровительством Алексеевского главного комитета» [2, л. 57]. Местным же комитетам, подчиняющимся губернскому правлению, присваивалось наименование «Уездный комитет по призрению детей, состоящих под покровительством Алексеевского Главного Комитета» [5, л. 57].</w:t>
      </w:r>
    </w:p>
    <w:p w:rsidR="0030059A" w:rsidRPr="00B644BF" w:rsidRDefault="0030059A" w:rsidP="002C7821">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Последняя дата деятельности комитета в Гродненской губернии, которая упоминается в Национальном Историческом Архиве Беларуси г. Гродно – это сентябрь 1916 г. [6, л. 26]. Можно предположить, что в дальнейшем данный комитет работал уже в Калуге или в Ярославле, так как Гродно, с осени 1915 г., находился в немецкой оккупации в период Первой Мировой войны. После Октябрьской революции 1917 г., комитет прекратил свою работу на территории всей Российской империи. </w:t>
      </w:r>
    </w:p>
    <w:p w:rsidR="0030059A" w:rsidRPr="00B644BF" w:rsidRDefault="0030059A" w:rsidP="002C7821">
      <w:pPr>
        <w:spacing w:after="0" w:line="240" w:lineRule="auto"/>
        <w:ind w:firstLine="709"/>
        <w:jc w:val="center"/>
        <w:rPr>
          <w:rFonts w:ascii="Times New Roman" w:hAnsi="Times New Roman" w:cs="Times New Roman"/>
          <w:sz w:val="28"/>
          <w:szCs w:val="28"/>
        </w:rPr>
      </w:pPr>
    </w:p>
    <w:p w:rsidR="0030059A" w:rsidRPr="00B644BF" w:rsidRDefault="0030059A" w:rsidP="002C7821">
      <w:pPr>
        <w:spacing w:after="0" w:line="240" w:lineRule="auto"/>
        <w:ind w:firstLine="709"/>
        <w:jc w:val="center"/>
        <w:rPr>
          <w:rFonts w:ascii="Times New Roman" w:hAnsi="Times New Roman" w:cs="Times New Roman"/>
          <w:b/>
          <w:sz w:val="28"/>
          <w:szCs w:val="28"/>
        </w:rPr>
      </w:pPr>
      <w:r w:rsidRPr="00B644BF">
        <w:rPr>
          <w:rFonts w:ascii="Times New Roman" w:hAnsi="Times New Roman" w:cs="Times New Roman"/>
          <w:b/>
          <w:sz w:val="28"/>
          <w:szCs w:val="28"/>
        </w:rPr>
        <w:t>Список литературы</w:t>
      </w:r>
    </w:p>
    <w:p w:rsidR="0030059A" w:rsidRPr="002C7821" w:rsidRDefault="0030059A" w:rsidP="002C7821">
      <w:pPr>
        <w:pStyle w:val="ad"/>
        <w:numPr>
          <w:ilvl w:val="0"/>
          <w:numId w:val="12"/>
        </w:numPr>
        <w:ind w:left="0" w:firstLine="709"/>
        <w:jc w:val="both"/>
        <w:rPr>
          <w:rFonts w:ascii="Times New Roman" w:hAnsi="Times New Roman" w:cs="Times New Roman"/>
          <w:sz w:val="24"/>
          <w:szCs w:val="24"/>
        </w:rPr>
      </w:pPr>
      <w:r w:rsidRPr="002C7821">
        <w:rPr>
          <w:rFonts w:ascii="Times New Roman" w:hAnsi="Times New Roman" w:cs="Times New Roman"/>
          <w:sz w:val="24"/>
          <w:szCs w:val="24"/>
        </w:rPr>
        <w:t xml:space="preserve">Национальный исторический архив Беларуси в г. Гродно (НИАБ в г. Гродно). Ф. 283. Оп. 1. Д. 5. </w:t>
      </w:r>
    </w:p>
    <w:p w:rsidR="0030059A" w:rsidRPr="002C7821" w:rsidRDefault="0030059A" w:rsidP="002C7821">
      <w:pPr>
        <w:pStyle w:val="ad"/>
        <w:numPr>
          <w:ilvl w:val="0"/>
          <w:numId w:val="12"/>
        </w:numPr>
        <w:ind w:left="0" w:firstLine="709"/>
        <w:jc w:val="both"/>
        <w:rPr>
          <w:rFonts w:ascii="Times New Roman" w:hAnsi="Times New Roman" w:cs="Times New Roman"/>
          <w:sz w:val="24"/>
          <w:szCs w:val="24"/>
        </w:rPr>
      </w:pPr>
      <w:r w:rsidRPr="002C7821">
        <w:rPr>
          <w:rFonts w:ascii="Times New Roman" w:hAnsi="Times New Roman" w:cs="Times New Roman"/>
          <w:sz w:val="24"/>
          <w:szCs w:val="24"/>
        </w:rPr>
        <w:t>НИАБ в г. Гродно. Ф. 285. Оп. 1. Д. 4.</w:t>
      </w:r>
    </w:p>
    <w:p w:rsidR="0030059A" w:rsidRPr="002C7821" w:rsidRDefault="0030059A" w:rsidP="002C7821">
      <w:pPr>
        <w:pStyle w:val="ad"/>
        <w:numPr>
          <w:ilvl w:val="0"/>
          <w:numId w:val="12"/>
        </w:numPr>
        <w:ind w:left="0" w:firstLine="709"/>
        <w:jc w:val="both"/>
        <w:rPr>
          <w:rFonts w:ascii="Times New Roman" w:hAnsi="Times New Roman" w:cs="Times New Roman"/>
          <w:sz w:val="24"/>
          <w:szCs w:val="24"/>
        </w:rPr>
      </w:pPr>
      <w:r w:rsidRPr="002C7821">
        <w:rPr>
          <w:rFonts w:ascii="Times New Roman" w:hAnsi="Times New Roman" w:cs="Times New Roman"/>
          <w:sz w:val="24"/>
          <w:szCs w:val="24"/>
        </w:rPr>
        <w:t>НИАБ в г. Гродно. Ф. 985. Оп. 1. Д. 1.</w:t>
      </w:r>
    </w:p>
    <w:p w:rsidR="0030059A" w:rsidRPr="002C7821" w:rsidRDefault="0030059A" w:rsidP="002C7821">
      <w:pPr>
        <w:pStyle w:val="ad"/>
        <w:numPr>
          <w:ilvl w:val="0"/>
          <w:numId w:val="12"/>
        </w:numPr>
        <w:ind w:left="0" w:firstLine="709"/>
        <w:jc w:val="both"/>
        <w:rPr>
          <w:rFonts w:ascii="Times New Roman" w:hAnsi="Times New Roman" w:cs="Times New Roman"/>
          <w:sz w:val="24"/>
          <w:szCs w:val="24"/>
        </w:rPr>
      </w:pPr>
      <w:r w:rsidRPr="002C7821">
        <w:rPr>
          <w:rFonts w:ascii="Times New Roman" w:hAnsi="Times New Roman" w:cs="Times New Roman"/>
          <w:sz w:val="24"/>
          <w:szCs w:val="24"/>
        </w:rPr>
        <w:t>НИАБ в г. Гродно. Ф. 985. Оп. 1. Д. 3.</w:t>
      </w:r>
    </w:p>
    <w:p w:rsidR="0030059A" w:rsidRPr="002C7821" w:rsidRDefault="0030059A" w:rsidP="002C7821">
      <w:pPr>
        <w:pStyle w:val="ad"/>
        <w:numPr>
          <w:ilvl w:val="0"/>
          <w:numId w:val="12"/>
        </w:numPr>
        <w:ind w:left="0" w:firstLine="709"/>
        <w:jc w:val="both"/>
        <w:rPr>
          <w:rFonts w:ascii="Times New Roman" w:hAnsi="Times New Roman" w:cs="Times New Roman"/>
          <w:sz w:val="24"/>
          <w:szCs w:val="24"/>
        </w:rPr>
      </w:pPr>
      <w:r w:rsidRPr="002C7821">
        <w:rPr>
          <w:rFonts w:ascii="Times New Roman" w:hAnsi="Times New Roman" w:cs="Times New Roman"/>
          <w:sz w:val="24"/>
          <w:szCs w:val="24"/>
        </w:rPr>
        <w:t>НИАБ в г. Гродно. Ф. 985. Оп. 1. Д. 4.</w:t>
      </w:r>
    </w:p>
    <w:p w:rsidR="0030059A" w:rsidRPr="002C7821" w:rsidRDefault="0030059A" w:rsidP="002C7821">
      <w:pPr>
        <w:pStyle w:val="a7"/>
        <w:numPr>
          <w:ilvl w:val="0"/>
          <w:numId w:val="12"/>
        </w:numPr>
        <w:spacing w:after="0" w:line="240" w:lineRule="auto"/>
        <w:ind w:left="0" w:firstLine="709"/>
        <w:jc w:val="both"/>
        <w:rPr>
          <w:rFonts w:ascii="Times New Roman" w:hAnsi="Times New Roman" w:cs="Times New Roman"/>
          <w:sz w:val="24"/>
          <w:szCs w:val="24"/>
        </w:rPr>
      </w:pPr>
      <w:r w:rsidRPr="002C7821">
        <w:rPr>
          <w:rFonts w:ascii="Times New Roman" w:hAnsi="Times New Roman" w:cs="Times New Roman"/>
          <w:sz w:val="24"/>
          <w:szCs w:val="24"/>
        </w:rPr>
        <w:t>НИАБ в г. Гродно. Ф. 985. Оп. 1. Д. 5.</w:t>
      </w:r>
    </w:p>
    <w:p w:rsidR="0030059A" w:rsidRPr="002C7821" w:rsidRDefault="0030059A" w:rsidP="002C7821">
      <w:pPr>
        <w:pStyle w:val="a7"/>
        <w:numPr>
          <w:ilvl w:val="0"/>
          <w:numId w:val="12"/>
        </w:numPr>
        <w:spacing w:after="0" w:line="240" w:lineRule="auto"/>
        <w:ind w:left="0" w:firstLine="709"/>
        <w:jc w:val="both"/>
        <w:rPr>
          <w:rFonts w:ascii="Times New Roman" w:hAnsi="Times New Roman" w:cs="Times New Roman"/>
          <w:sz w:val="24"/>
          <w:szCs w:val="24"/>
        </w:rPr>
      </w:pPr>
      <w:r w:rsidRPr="002C7821">
        <w:rPr>
          <w:rFonts w:ascii="Times New Roman" w:hAnsi="Times New Roman" w:cs="Times New Roman"/>
          <w:sz w:val="24"/>
          <w:szCs w:val="24"/>
        </w:rPr>
        <w:t>Алексеевский главный комитет // Военная энциклопедия : [в 18 т.] / под ред. В. Ф. Новицкого … [и др.]. – СПб. ; [М.] : Тип. т-ва И. Д. Сытина, 1911–1915. – С. 298–299.</w:t>
      </w:r>
    </w:p>
    <w:p w:rsidR="0030059A" w:rsidRPr="002C7821" w:rsidRDefault="0030059A" w:rsidP="002C7821">
      <w:pPr>
        <w:pStyle w:val="a7"/>
        <w:numPr>
          <w:ilvl w:val="0"/>
          <w:numId w:val="12"/>
        </w:numPr>
        <w:spacing w:after="0" w:line="240" w:lineRule="auto"/>
        <w:ind w:left="0" w:firstLine="709"/>
        <w:jc w:val="both"/>
        <w:rPr>
          <w:rFonts w:ascii="Times New Roman" w:hAnsi="Times New Roman" w:cs="Times New Roman"/>
          <w:sz w:val="24"/>
          <w:szCs w:val="24"/>
        </w:rPr>
      </w:pPr>
      <w:r w:rsidRPr="002C7821">
        <w:rPr>
          <w:rFonts w:ascii="Times New Roman" w:hAnsi="Times New Roman" w:cs="Times New Roman"/>
          <w:sz w:val="24"/>
          <w:szCs w:val="24"/>
        </w:rPr>
        <w:t>Национальный исторический архив Беларуси в г. Гродно: путеводитель / [сост.: В. И. Адамушко и др.]. – Минск: [Изд. центр Бел. гос. ун-та], 2016. – 388 с.</w:t>
      </w:r>
    </w:p>
    <w:p w:rsidR="0030059A" w:rsidRPr="002C7821" w:rsidRDefault="0030059A" w:rsidP="002C7821">
      <w:pPr>
        <w:pStyle w:val="a7"/>
        <w:numPr>
          <w:ilvl w:val="0"/>
          <w:numId w:val="12"/>
        </w:numPr>
        <w:spacing w:after="0" w:line="240" w:lineRule="auto"/>
        <w:ind w:left="0" w:firstLine="709"/>
        <w:jc w:val="both"/>
        <w:rPr>
          <w:rFonts w:ascii="Times New Roman" w:hAnsi="Times New Roman" w:cs="Times New Roman"/>
          <w:sz w:val="24"/>
          <w:szCs w:val="24"/>
        </w:rPr>
      </w:pPr>
      <w:r w:rsidRPr="002C7821">
        <w:rPr>
          <w:rFonts w:ascii="Times New Roman" w:hAnsi="Times New Roman" w:cs="Times New Roman"/>
          <w:sz w:val="24"/>
          <w:szCs w:val="24"/>
        </w:rPr>
        <w:t>Семячкова В. В. Деятельность Алексеевского главного комитета в 1904–1907 гг. / В. В. Семячкова // Урал индустриальный. Бакунинские чтения : материалы VIII Всероссийской научной конференции, [г. Екатеринбург], 27–28 апреля 2007 г. – Екатеринбург : АМБ, 2007. – Т. 1. – С. 217–219.</w:t>
      </w:r>
    </w:p>
    <w:p w:rsidR="0030059A" w:rsidRPr="00B644BF" w:rsidRDefault="0030059A" w:rsidP="0030059A">
      <w:pPr>
        <w:spacing w:after="0" w:line="240" w:lineRule="auto"/>
        <w:ind w:firstLine="709"/>
        <w:jc w:val="both"/>
        <w:rPr>
          <w:rFonts w:ascii="Times New Roman" w:hAnsi="Times New Roman" w:cs="Times New Roman"/>
          <w:sz w:val="28"/>
          <w:szCs w:val="28"/>
        </w:rPr>
      </w:pPr>
    </w:p>
    <w:p w:rsidR="0030059A" w:rsidRPr="00B644BF" w:rsidRDefault="0030059A" w:rsidP="002C7821">
      <w:pPr>
        <w:spacing w:after="0" w:line="240" w:lineRule="auto"/>
        <w:ind w:firstLine="709"/>
        <w:jc w:val="center"/>
        <w:rPr>
          <w:rFonts w:ascii="Times New Roman" w:hAnsi="Times New Roman" w:cs="Times New Roman"/>
          <w:b/>
          <w:bCs/>
          <w:sz w:val="28"/>
          <w:szCs w:val="28"/>
        </w:rPr>
      </w:pPr>
      <w:r w:rsidRPr="00B644BF">
        <w:rPr>
          <w:rFonts w:ascii="Times New Roman" w:hAnsi="Times New Roman" w:cs="Times New Roman"/>
          <w:b/>
          <w:bCs/>
          <w:sz w:val="28"/>
          <w:szCs w:val="28"/>
        </w:rPr>
        <w:t>РОЛЬ ПРОФЕССИОНАЛЬНОЙ ТАЙНЫ В КОНТЕКСТЕ ЗАЩИТЫ ПЕРСОНАЛЬНЫЙ ДАННЫХ В РЕСПУБЛИКЕ БЕЛАРУСЬ</w:t>
      </w:r>
    </w:p>
    <w:p w:rsidR="0030059A" w:rsidRPr="00B644BF" w:rsidRDefault="0030059A" w:rsidP="002C7821">
      <w:pPr>
        <w:spacing w:after="0" w:line="240" w:lineRule="auto"/>
        <w:ind w:firstLine="709"/>
        <w:jc w:val="center"/>
        <w:rPr>
          <w:rFonts w:ascii="Times New Roman" w:hAnsi="Times New Roman" w:cs="Times New Roman"/>
          <w:b/>
          <w:bCs/>
          <w:sz w:val="28"/>
          <w:szCs w:val="28"/>
        </w:rPr>
      </w:pPr>
    </w:p>
    <w:p w:rsidR="0030059A" w:rsidRPr="00B644BF" w:rsidRDefault="0030059A" w:rsidP="002C7821">
      <w:pPr>
        <w:spacing w:after="0" w:line="240" w:lineRule="auto"/>
        <w:ind w:firstLine="709"/>
        <w:jc w:val="center"/>
        <w:rPr>
          <w:rFonts w:ascii="Times New Roman" w:hAnsi="Times New Roman" w:cs="Times New Roman"/>
          <w:b/>
          <w:sz w:val="28"/>
          <w:szCs w:val="28"/>
        </w:rPr>
      </w:pPr>
      <w:r w:rsidRPr="00B644BF">
        <w:rPr>
          <w:rFonts w:ascii="Times New Roman" w:hAnsi="Times New Roman" w:cs="Times New Roman"/>
          <w:b/>
          <w:sz w:val="28"/>
          <w:szCs w:val="28"/>
        </w:rPr>
        <w:t>Маслёная Анна Дмитриевна</w:t>
      </w:r>
    </w:p>
    <w:p w:rsidR="0030059A" w:rsidRPr="00B644BF" w:rsidRDefault="0030059A" w:rsidP="002C7821">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студентка</w:t>
      </w:r>
    </w:p>
    <w:p w:rsidR="0030059A" w:rsidRPr="00B644BF" w:rsidRDefault="0030059A" w:rsidP="002C7821">
      <w:pPr>
        <w:spacing w:after="0" w:line="240" w:lineRule="auto"/>
        <w:ind w:firstLine="709"/>
        <w:jc w:val="center"/>
        <w:rPr>
          <w:rFonts w:ascii="Times New Roman" w:hAnsi="Times New Roman" w:cs="Times New Roman"/>
          <w:sz w:val="28"/>
          <w:szCs w:val="28"/>
          <w:lang w:val="be-BY"/>
        </w:rPr>
      </w:pPr>
      <w:r w:rsidRPr="00B644BF">
        <w:rPr>
          <w:rFonts w:ascii="Times New Roman" w:hAnsi="Times New Roman" w:cs="Times New Roman"/>
          <w:sz w:val="28"/>
          <w:szCs w:val="28"/>
        </w:rPr>
        <w:t>учреждения образования «Могилевский государственный университет имени А.А. Кулешова»</w:t>
      </w:r>
    </w:p>
    <w:p w:rsidR="0030059A" w:rsidRPr="00B644BF" w:rsidRDefault="0030059A" w:rsidP="002C7821">
      <w:pPr>
        <w:widowControl w:val="0"/>
        <w:tabs>
          <w:tab w:val="left" w:pos="7200"/>
        </w:tabs>
        <w:spacing w:after="0" w:line="240" w:lineRule="auto"/>
        <w:ind w:firstLine="709"/>
        <w:jc w:val="center"/>
        <w:rPr>
          <w:rFonts w:ascii="Times New Roman" w:hAnsi="Times New Roman" w:cs="Times New Roman"/>
          <w:spacing w:val="-4"/>
          <w:sz w:val="28"/>
          <w:szCs w:val="28"/>
          <w:lang w:val="be-BY"/>
        </w:rPr>
      </w:pPr>
      <w:r w:rsidRPr="00B644BF">
        <w:rPr>
          <w:rFonts w:ascii="Times New Roman" w:hAnsi="Times New Roman" w:cs="Times New Roman"/>
          <w:sz w:val="28"/>
          <w:szCs w:val="28"/>
        </w:rPr>
        <w:t>(г. Могилев, Беларусь)</w:t>
      </w:r>
    </w:p>
    <w:p w:rsidR="0030059A" w:rsidRPr="002C7821" w:rsidRDefault="00F975FD" w:rsidP="002C7821">
      <w:pPr>
        <w:tabs>
          <w:tab w:val="left" w:pos="3960"/>
        </w:tabs>
        <w:spacing w:after="0" w:line="240" w:lineRule="auto"/>
        <w:ind w:firstLine="709"/>
        <w:jc w:val="center"/>
        <w:rPr>
          <w:rFonts w:ascii="Times New Roman" w:hAnsi="Times New Roman" w:cs="Times New Roman"/>
          <w:sz w:val="28"/>
          <w:szCs w:val="28"/>
        </w:rPr>
      </w:pPr>
      <w:hyperlink r:id="rId16" w:history="1">
        <w:r w:rsidR="0030059A" w:rsidRPr="002C7821">
          <w:rPr>
            <w:rStyle w:val="a5"/>
            <w:rFonts w:ascii="Times New Roman" w:hAnsi="Times New Roman" w:cs="Times New Roman"/>
            <w:color w:val="auto"/>
            <w:sz w:val="28"/>
            <w:szCs w:val="28"/>
            <w:u w:val="none"/>
            <w:lang w:val="en-US"/>
          </w:rPr>
          <w:t>m</w:t>
        </w:r>
        <w:r w:rsidR="0030059A" w:rsidRPr="002C7821">
          <w:rPr>
            <w:rStyle w:val="a5"/>
            <w:rFonts w:ascii="Times New Roman" w:hAnsi="Times New Roman" w:cs="Times New Roman"/>
            <w:color w:val="auto"/>
            <w:sz w:val="28"/>
            <w:szCs w:val="28"/>
            <w:u w:val="none"/>
          </w:rPr>
          <w:t>17</w:t>
        </w:r>
        <w:r w:rsidR="0030059A" w:rsidRPr="002C7821">
          <w:rPr>
            <w:rStyle w:val="a5"/>
            <w:rFonts w:ascii="Times New Roman" w:hAnsi="Times New Roman" w:cs="Times New Roman"/>
            <w:color w:val="auto"/>
            <w:sz w:val="28"/>
            <w:szCs w:val="28"/>
            <w:u w:val="none"/>
            <w:lang w:val="en-US"/>
          </w:rPr>
          <w:t>rch</w:t>
        </w:r>
        <w:r w:rsidR="0030059A" w:rsidRPr="002C7821">
          <w:rPr>
            <w:rStyle w:val="a5"/>
            <w:rFonts w:ascii="Times New Roman" w:hAnsi="Times New Roman" w:cs="Times New Roman"/>
            <w:color w:val="auto"/>
            <w:sz w:val="28"/>
            <w:szCs w:val="28"/>
            <w:u w:val="none"/>
            <w:lang w:val="be-BY"/>
          </w:rPr>
          <w:t>@</w:t>
        </w:r>
        <w:r w:rsidR="0030059A" w:rsidRPr="002C7821">
          <w:rPr>
            <w:rStyle w:val="a5"/>
            <w:rFonts w:ascii="Times New Roman" w:hAnsi="Times New Roman" w:cs="Times New Roman"/>
            <w:color w:val="auto"/>
            <w:sz w:val="28"/>
            <w:szCs w:val="28"/>
            <w:u w:val="none"/>
            <w:lang w:val="en-US"/>
          </w:rPr>
          <w:t>mail</w:t>
        </w:r>
        <w:r w:rsidR="0030059A" w:rsidRPr="002C7821">
          <w:rPr>
            <w:rStyle w:val="a5"/>
            <w:rFonts w:ascii="Times New Roman" w:hAnsi="Times New Roman" w:cs="Times New Roman"/>
            <w:color w:val="auto"/>
            <w:sz w:val="28"/>
            <w:szCs w:val="28"/>
            <w:u w:val="none"/>
            <w:lang w:val="be-BY"/>
          </w:rPr>
          <w:t>.</w:t>
        </w:r>
        <w:r w:rsidR="0030059A" w:rsidRPr="002C7821">
          <w:rPr>
            <w:rStyle w:val="a5"/>
            <w:rFonts w:ascii="Times New Roman" w:hAnsi="Times New Roman" w:cs="Times New Roman"/>
            <w:color w:val="auto"/>
            <w:sz w:val="28"/>
            <w:szCs w:val="28"/>
            <w:u w:val="none"/>
            <w:lang w:val="en-US"/>
          </w:rPr>
          <w:t>ru</w:t>
        </w:r>
      </w:hyperlink>
    </w:p>
    <w:p w:rsidR="0030059A" w:rsidRPr="002C7821" w:rsidRDefault="0030059A" w:rsidP="002C7821">
      <w:pPr>
        <w:tabs>
          <w:tab w:val="left" w:pos="3960"/>
        </w:tabs>
        <w:spacing w:after="0" w:line="240" w:lineRule="auto"/>
        <w:ind w:firstLine="709"/>
        <w:jc w:val="center"/>
        <w:rPr>
          <w:rFonts w:ascii="Times New Roman" w:hAnsi="Times New Roman" w:cs="Times New Roman"/>
          <w:sz w:val="28"/>
          <w:szCs w:val="28"/>
        </w:rPr>
      </w:pPr>
    </w:p>
    <w:p w:rsidR="0030059A" w:rsidRPr="002C7821" w:rsidRDefault="0030059A" w:rsidP="002C7821">
      <w:pPr>
        <w:spacing w:after="0" w:line="240" w:lineRule="auto"/>
        <w:ind w:firstLine="709"/>
        <w:jc w:val="both"/>
        <w:rPr>
          <w:rFonts w:ascii="Times New Roman" w:hAnsi="Times New Roman" w:cs="Times New Roman"/>
          <w:iCs/>
          <w:sz w:val="24"/>
          <w:szCs w:val="24"/>
        </w:rPr>
      </w:pPr>
      <w:r w:rsidRPr="002C7821">
        <w:rPr>
          <w:rFonts w:ascii="Times New Roman" w:hAnsi="Times New Roman" w:cs="Times New Roman"/>
          <w:b/>
          <w:iCs/>
          <w:sz w:val="24"/>
          <w:szCs w:val="24"/>
          <w:lang w:val="be-BY"/>
        </w:rPr>
        <w:t>Аннотация.</w:t>
      </w:r>
      <w:r w:rsidRPr="002C7821">
        <w:rPr>
          <w:rFonts w:ascii="Times New Roman" w:hAnsi="Times New Roman" w:cs="Times New Roman"/>
          <w:iCs/>
          <w:sz w:val="24"/>
          <w:szCs w:val="24"/>
          <w:lang w:val="be-BY"/>
        </w:rPr>
        <w:t xml:space="preserve"> </w:t>
      </w:r>
      <w:r w:rsidRPr="002C7821">
        <w:rPr>
          <w:rFonts w:ascii="Times New Roman" w:hAnsi="Times New Roman" w:cs="Times New Roman"/>
          <w:iCs/>
          <w:sz w:val="24"/>
          <w:szCs w:val="24"/>
        </w:rPr>
        <w:t>Настоящая статья ставит целью анализ роли профессиональной тайны в механизме защиты персональных данных, определение их взаимосвязи, корреляции и различий на основе анализа соответствующих нормативных правовых актов.</w:t>
      </w:r>
    </w:p>
    <w:p w:rsidR="0030059A" w:rsidRPr="002C7821" w:rsidRDefault="0030059A" w:rsidP="002C7821">
      <w:pPr>
        <w:widowControl w:val="0"/>
        <w:tabs>
          <w:tab w:val="left" w:pos="7200"/>
        </w:tabs>
        <w:spacing w:after="0" w:line="240" w:lineRule="auto"/>
        <w:ind w:firstLine="709"/>
        <w:jc w:val="both"/>
        <w:rPr>
          <w:rFonts w:ascii="Times New Roman" w:hAnsi="Times New Roman" w:cs="Times New Roman"/>
          <w:iCs/>
          <w:sz w:val="24"/>
          <w:szCs w:val="24"/>
        </w:rPr>
      </w:pPr>
      <w:r w:rsidRPr="002C7821">
        <w:rPr>
          <w:rFonts w:ascii="Times New Roman" w:hAnsi="Times New Roman" w:cs="Times New Roman"/>
          <w:b/>
          <w:iCs/>
          <w:sz w:val="24"/>
          <w:szCs w:val="24"/>
        </w:rPr>
        <w:lastRenderedPageBreak/>
        <w:t xml:space="preserve">Ключевые слова. </w:t>
      </w:r>
      <w:r w:rsidRPr="002C7821">
        <w:rPr>
          <w:rFonts w:ascii="Times New Roman" w:hAnsi="Times New Roman" w:cs="Times New Roman"/>
          <w:iCs/>
          <w:sz w:val="24"/>
          <w:szCs w:val="24"/>
        </w:rPr>
        <w:t>Профессиональная тайна, персональные данные, информация.</w:t>
      </w:r>
    </w:p>
    <w:p w:rsidR="0030059A" w:rsidRPr="00B644BF" w:rsidRDefault="0030059A" w:rsidP="002C7821">
      <w:pPr>
        <w:spacing w:after="0" w:line="240" w:lineRule="auto"/>
        <w:ind w:firstLine="709"/>
        <w:jc w:val="both"/>
        <w:rPr>
          <w:rFonts w:ascii="Times New Roman" w:hAnsi="Times New Roman" w:cs="Times New Roman"/>
          <w:sz w:val="28"/>
          <w:szCs w:val="28"/>
        </w:rPr>
      </w:pPr>
    </w:p>
    <w:p w:rsidR="0030059A" w:rsidRPr="00B644BF" w:rsidRDefault="0030059A" w:rsidP="002C7821">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В эпоху стремительного развития цифровых технологий в современном информационном обществе защита персональных данных вызывает необходимость научного обоснования и правового обеспечения целесообразного соотношения интересов личности, общества, государства и определения пределов допустимого вмешательства информационных технологий во все сферы жизнедеятельности, где компьютеризация стала неотъемлемым элементом труда, быта и отдыха. </w:t>
      </w:r>
    </w:p>
    <w:p w:rsidR="0030059A" w:rsidRPr="00B644BF" w:rsidRDefault="0030059A" w:rsidP="002C7821">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Эффективное правовое регулирование профессиональной тайны имеет важное значение для обеспечения информационной безопасности в государстве. Роль профессиональной тайны в Республике Беларусь обусловлена интенсивным оборотом данных, среди которых особую правовую значимость обрели персональные данные. Формирование комплексной системы их защиты связано с имплементацией как международных стандартов, так и правовых традиций. Затрагивающая различные сферы общественной жизни цифровизация существенно усложняет правовую охрану профессиональной тайны. Это обусловлено тем, что и хранение сведений, и их передача осуществляются посредством электронного документооборота, который носит зачастую трансграничный характер.</w:t>
      </w:r>
    </w:p>
    <w:p w:rsidR="0030059A" w:rsidRPr="00B644BF" w:rsidRDefault="0030059A" w:rsidP="002C7821">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На сегодняшний день отмечается необходимость в определении правовой природы и правового режима профессиональной тайны, ее видов и критериев разграничения с другими видами информации ограниченного доступа, в целях повышения эффективности правового регулирования общественных отношений в сфере соблюдения конфиденциальности информации. Изложенные обстоятельства обуславливают актуальность темы научного исследования и подтверждают необходимость его проведения.</w:t>
      </w:r>
    </w:p>
    <w:p w:rsidR="0030059A" w:rsidRPr="00B644BF" w:rsidRDefault="0030059A" w:rsidP="002C7821">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В настоящее время в законодательстве Республики Беларусь отсутствует легальное определение понятия «профессиональная тайна». Законодатель называет лишь сведения, связанные с профессиональной деятельностью, доступ к которым ограничен в соответствии с нормативными правовыми актами Республики Беларусь. Мнения большинства юристов сводится к тому, что под профессиональной тайной следует понимать личную и семейную тайну, доверенную представителям некоторых профессий в силу исполнения последними своих профессиональных обязанностей и защищаемую от разглашения законом. Однако по нашему мнению, под профессиональной тайной следует понимать защищаемую по закону информацию, доверенную или ставшую известной лицу (держателю) исключительно в силу исполнения им своих профессиональных обязанностей, не связанных с государственной или </w:t>
      </w:r>
      <w:r w:rsidRPr="00B644BF">
        <w:rPr>
          <w:rFonts w:ascii="Times New Roman" w:hAnsi="Times New Roman" w:cs="Times New Roman"/>
          <w:sz w:val="28"/>
          <w:szCs w:val="28"/>
        </w:rPr>
        <w:lastRenderedPageBreak/>
        <w:t>муниципальной службой, распространение которой может нанести ущерб правам и законным интересам другого лица (доверителя), доверившего эти сведения, и не являющаяся государственной или коммерческой тайной. Классическими примерами являются врачебная, нотариальная, адвокатская тайна, тайна исповеди, а также, возникающая в отношениях с другими специалистами (например, аудиторами).</w:t>
      </w:r>
    </w:p>
    <w:p w:rsidR="0030059A" w:rsidRPr="00B644BF" w:rsidRDefault="0030059A" w:rsidP="002C7821">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Понятие профессиональной тайны является устоявшимся правовым институтом, производным от более общего режима конфиденциальной информации. Согласно статье 1 Закона Республики Беларусь от 10 ноября 2008 г. № 455-З «Об информации, информатизации и защите информации» (далее – Закон об информации), конфиденциальная информация – это информация, доступ к которой ограничен законодательством и обладателем которой являются физические или юридические лица [3].  </w:t>
      </w:r>
    </w:p>
    <w:p w:rsidR="0030059A" w:rsidRPr="00B644BF" w:rsidRDefault="0030059A" w:rsidP="002C7821">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В ст. 28 Конституции Республики Беларусь установлено, что каждый имеет право на защиту от незаконного вмешательства в его частную жизнь, в том числе от посягательства на тайну его корреспонденции, телефонных и иных сообщений, на его честь и достоинство. Г. А. Василевич полагает, что данная статья закрепляет неприкосновенность личной (частной) жизни, а соответствующее право состоит из отдельных элементов (правомочий), включая право на личную и семейную тайну, свободу общения, свободу располагать собой, недопустимость прослушивания и записи переговоров, просмотр корреспонденции, право на тайну голосования, право на защиту личности и др. [2]. </w:t>
      </w:r>
    </w:p>
    <w:p w:rsidR="0030059A" w:rsidRPr="00B644BF" w:rsidRDefault="0030059A" w:rsidP="002C7821">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Таким образом, профессиональная тайна находится в центре внимания ученых, но, несмотря на это, в научной среде так и не сформировалось четкое теоретическое определение профессиональной тайны и ее признаков.</w:t>
      </w:r>
    </w:p>
    <w:p w:rsidR="0030059A" w:rsidRPr="00B644BF" w:rsidRDefault="0030059A" w:rsidP="002C7821">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В течение последних десятилетий наблюдается устойчивая закономерность увеличения объемов скорости обработки персональной информации и все большее ее распространение в сети Интернет, в том числе в социальных сетях и мессенджерах. Повышение уровня защиты персональных данных напрямую зависит от прогресса в области информационных технологий и необходимости гарантировать их безопасное применение.  В этой связи особую актуальность приобретают вопросы правового регулирования происходящих процессов с целью обеспечения беспрепятственной реализации конституционных прав и свобод человека и гражданина в различных сферах деятельности (оказание электронных услуг, торговля, здравоохранение, образование, осуществление административных процедур и др.)</w:t>
      </w:r>
    </w:p>
    <w:p w:rsidR="0030059A" w:rsidRPr="00B644BF" w:rsidRDefault="0030059A" w:rsidP="002C7821">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Согласно ст. 1 Закона Республики Беларусь «О защите персональных данных» от 7 мая 2021 г. № 99-З (далее – Закон № 99-З) персональные данные - это любая информация, относящаяся к идентифицированному физическому лицу или физическому лицу, которое может быть </w:t>
      </w:r>
      <w:r w:rsidRPr="00B644BF">
        <w:rPr>
          <w:rFonts w:ascii="Times New Roman" w:hAnsi="Times New Roman" w:cs="Times New Roman"/>
          <w:sz w:val="28"/>
          <w:szCs w:val="28"/>
        </w:rPr>
        <w:lastRenderedPageBreak/>
        <w:t>идентифицировано [4]. Защита персональных данных - это комплекс мер, направленных на обеспечение конфиденциальности, целостности и доступности информации, относящейся к идентифицированным или идентифицируемым физическим лицам.</w:t>
      </w:r>
    </w:p>
    <w:p w:rsidR="0030059A" w:rsidRPr="00B644BF" w:rsidRDefault="0030059A" w:rsidP="002C7821">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В контексте защиты персональных данных роль профессиональной тайны проявляется, прежде всего, через установление дополнительных гарантий и специальных правовых режимов обработки особых категорий данных. Персональные данные, часто составляют суть информации, охраняемой в режиме профессиональной тайны. Например, данные о состоянии здоровья, переданные врачу, или обстоятельства частной жизни, доверенные адвокату, по своей сути являются конфиденциальными данными, доступ к которым для неограниченного круга лиц законодательно воспрещен.</w:t>
      </w:r>
    </w:p>
    <w:p w:rsidR="0030059A" w:rsidRPr="00B644BF" w:rsidRDefault="0030059A" w:rsidP="002C7821">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Закон об информации закрепляет фундаментальные принципы, которые в равной степени применимы как к защите персональных данных, так и к соблюдению режима профессиональной тайны. Среди них принцип законности обработки информации, принцип установления ограничений на доступ к информации только законодательными актами (ст. 5), а также принцип защиты конфиденциальной информации. Статья 16 Закона об информации прямо обязывает обладателя информации и оператора информационной системы принимать необходимые меры по защите конфиденциальной информации от разглашения, утечки, утраты, изменения, блокирования и иных неправомерных действий [3]. Эта норма является правовой основой для внедрения технических и организационных мер безопасности при обработке персональных данных в рамках профессиональной деятельности.</w:t>
      </w:r>
    </w:p>
    <w:p w:rsidR="0030059A" w:rsidRPr="00B644BF" w:rsidRDefault="0030059A" w:rsidP="002C7821">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Необходимо отметить, что профессиональная тайна выступает в качестве важнейшего механизма имплементации требований по защите персональных данных в различных сферах. Режим профессиональной тайны устанавливает более строгие, по сравнению с общими, условия сбора, хранения, использования и предоставления третьим лицам конфиденциальной информации. Он налагает на профессионального держателя информации (врача, адвоката, нотариуса) повышенные требования по обеспечению ее сохранности и несет личную ответственность за ее разглашение.</w:t>
      </w:r>
    </w:p>
    <w:p w:rsidR="0030059A" w:rsidRPr="00B644BF" w:rsidRDefault="0030059A" w:rsidP="002C7821">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Таким образом, на основе проведенного анализа можно сделать вывод о том, что институт профессиональной тайны в Республике Беларусь выполняет системообразующую роль в контексте защиты персональных данных, выступая важнейшим механизмом, обеспечивающим необходимый уровень конфиденциальности информации о частной жизни физического лица. Корреляция между данными правовыми категориями проявляется в том, что профессиональная тайна в значительной, а часто и в исчерпывающей мере, состоит из персональных </w:t>
      </w:r>
      <w:r w:rsidRPr="00B644BF">
        <w:rPr>
          <w:rFonts w:ascii="Times New Roman" w:hAnsi="Times New Roman" w:cs="Times New Roman"/>
          <w:sz w:val="28"/>
          <w:szCs w:val="28"/>
        </w:rPr>
        <w:lastRenderedPageBreak/>
        <w:t xml:space="preserve">данных, подпадающих под действие общего законодательства о персональных данных. Однако их различия, обусловленные спецификой объекта, круга субъектов, источников права и охраняемых социальных благ, указывают на автономное значение института профессиональной тайны. Следовательно, эффективная защита персональных данных в Республике Беларусь требует согласованного применения как общего законодательства о защите персональных данных, так и специальных режимов профессиональной тайны. </w:t>
      </w:r>
    </w:p>
    <w:p w:rsidR="0030059A" w:rsidRPr="00B644BF" w:rsidRDefault="0030059A" w:rsidP="002C7821">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Нарушение норм о профессиональной тайне практически всегда является и нарушением законодательства о защите персональных данных, но не наоборот. Дальнейшее развитие законодательства требует гармонизации этих специальных норм с общими положениями о защите персональных данных, усиления процессуальных гарантий при обращении к такой информации со стороны государства и повышения эффективности мер ответственности за ее незаконное разглашение, что в совокупности будет способствовать укреплению конституционного права граждан на защиту частной жизни.</w:t>
      </w:r>
    </w:p>
    <w:p w:rsidR="0030059A" w:rsidRPr="00B644BF" w:rsidRDefault="0030059A" w:rsidP="002C7821">
      <w:pPr>
        <w:spacing w:after="0" w:line="240" w:lineRule="auto"/>
        <w:ind w:firstLine="709"/>
        <w:jc w:val="both"/>
        <w:rPr>
          <w:rFonts w:ascii="Times New Roman" w:hAnsi="Times New Roman" w:cs="Times New Roman"/>
          <w:sz w:val="28"/>
          <w:szCs w:val="28"/>
        </w:rPr>
      </w:pPr>
    </w:p>
    <w:p w:rsidR="0030059A" w:rsidRPr="00B644BF" w:rsidRDefault="002C7821" w:rsidP="002C7821">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Список литературы</w:t>
      </w:r>
    </w:p>
    <w:p w:rsidR="0030059A" w:rsidRPr="002C7821" w:rsidRDefault="0030059A" w:rsidP="002C7821">
      <w:pPr>
        <w:pStyle w:val="a7"/>
        <w:numPr>
          <w:ilvl w:val="0"/>
          <w:numId w:val="13"/>
        </w:numPr>
        <w:spacing w:after="0" w:line="240" w:lineRule="auto"/>
        <w:ind w:left="0" w:firstLine="709"/>
        <w:jc w:val="both"/>
        <w:rPr>
          <w:rFonts w:ascii="Times New Roman" w:hAnsi="Times New Roman" w:cs="Times New Roman"/>
          <w:sz w:val="24"/>
          <w:szCs w:val="24"/>
        </w:rPr>
      </w:pPr>
      <w:r w:rsidRPr="002C7821">
        <w:rPr>
          <w:rFonts w:ascii="Times New Roman" w:hAnsi="Times New Roman" w:cs="Times New Roman"/>
          <w:sz w:val="24"/>
          <w:szCs w:val="24"/>
        </w:rPr>
        <w:t>Бизнес-инфо. Всё по одной теме. Защита персональных данных</w:t>
      </w:r>
      <w:r w:rsidRPr="002C7821">
        <w:rPr>
          <w:rFonts w:ascii="Times New Roman" w:eastAsia="Times New Roman" w:hAnsi="Times New Roman" w:cs="Times New Roman"/>
          <w:bCs/>
          <w:kern w:val="36"/>
          <w:sz w:val="24"/>
          <w:szCs w:val="24"/>
          <w:lang w:eastAsia="ru-RU"/>
        </w:rPr>
        <w:t xml:space="preserve">. </w:t>
      </w:r>
      <w:r w:rsidRPr="002C7821">
        <w:rPr>
          <w:rFonts w:ascii="Times New Roman" w:hAnsi="Times New Roman" w:cs="Times New Roman"/>
          <w:sz w:val="24"/>
          <w:szCs w:val="24"/>
        </w:rPr>
        <w:t xml:space="preserve">– URL: </w:t>
      </w:r>
      <w:hyperlink r:id="rId17" w:history="1">
        <w:r w:rsidRPr="002C7821">
          <w:rPr>
            <w:rStyle w:val="a5"/>
            <w:rFonts w:ascii="Times New Roman" w:hAnsi="Times New Roman" w:cs="Times New Roman"/>
            <w:color w:val="auto"/>
            <w:sz w:val="24"/>
            <w:szCs w:val="24"/>
          </w:rPr>
          <w:t>https://bii.by/docs/zashchita-personalnykh-dannykh-712063</w:t>
        </w:r>
      </w:hyperlink>
      <w:r w:rsidRPr="002C7821">
        <w:rPr>
          <w:rFonts w:ascii="Times New Roman" w:hAnsi="Times New Roman" w:cs="Times New Roman"/>
          <w:sz w:val="24"/>
          <w:szCs w:val="24"/>
        </w:rPr>
        <w:t xml:space="preserve"> (дата обращения: 21.04.2026).</w:t>
      </w:r>
    </w:p>
    <w:p w:rsidR="0030059A" w:rsidRPr="002C7821" w:rsidRDefault="0030059A" w:rsidP="002C7821">
      <w:pPr>
        <w:pStyle w:val="a7"/>
        <w:numPr>
          <w:ilvl w:val="0"/>
          <w:numId w:val="13"/>
        </w:numPr>
        <w:spacing w:after="0" w:line="240" w:lineRule="auto"/>
        <w:ind w:left="0" w:firstLine="709"/>
        <w:jc w:val="both"/>
        <w:rPr>
          <w:rFonts w:ascii="Times New Roman" w:hAnsi="Times New Roman" w:cs="Times New Roman"/>
          <w:sz w:val="24"/>
          <w:szCs w:val="24"/>
        </w:rPr>
      </w:pPr>
      <w:r w:rsidRPr="002C7821">
        <w:rPr>
          <w:rFonts w:ascii="Times New Roman" w:hAnsi="Times New Roman" w:cs="Times New Roman"/>
          <w:sz w:val="24"/>
          <w:szCs w:val="24"/>
        </w:rPr>
        <w:t>Василевич, Г. А. Научно-практический комментарий к Конституции Республики Беларусь [Электронный ресурс]: [по состоянию на 05.01.2006 г.] / Г. А. Василевич // КонсультантПлюс. Беларусь / ООО «ЮрСпектр», Нац. Центр правовой информ. Респ. Беларусь. – Мн., 2021.</w:t>
      </w:r>
    </w:p>
    <w:p w:rsidR="0030059A" w:rsidRPr="002C7821" w:rsidRDefault="0030059A" w:rsidP="002C7821">
      <w:pPr>
        <w:pStyle w:val="a7"/>
        <w:numPr>
          <w:ilvl w:val="0"/>
          <w:numId w:val="13"/>
        </w:numPr>
        <w:spacing w:after="0" w:line="240" w:lineRule="auto"/>
        <w:ind w:left="0" w:firstLine="709"/>
        <w:jc w:val="both"/>
        <w:rPr>
          <w:rFonts w:ascii="Times New Roman" w:hAnsi="Times New Roman" w:cs="Times New Roman"/>
          <w:sz w:val="24"/>
          <w:szCs w:val="24"/>
        </w:rPr>
      </w:pPr>
      <w:r w:rsidRPr="002C7821">
        <w:rPr>
          <w:rFonts w:ascii="Times New Roman" w:hAnsi="Times New Roman" w:cs="Times New Roman"/>
          <w:sz w:val="24"/>
          <w:szCs w:val="24"/>
        </w:rPr>
        <w:t>Об информации, информатизации и защите информации : Закон Респ. Беларусь от 10 ноября 2008 г. № 455-З : в ред. от 10 октября 2022 г. № 209-З // ЭТАЛОН : информ.-поисковая система / Нац. центр правовой информ. Респ. Беларусь (дата обращения: 20.04.2026).</w:t>
      </w:r>
    </w:p>
    <w:p w:rsidR="0030059A" w:rsidRPr="002C7821" w:rsidRDefault="0030059A" w:rsidP="002C7821">
      <w:pPr>
        <w:pStyle w:val="a7"/>
        <w:numPr>
          <w:ilvl w:val="0"/>
          <w:numId w:val="13"/>
        </w:numPr>
        <w:spacing w:after="0" w:line="240" w:lineRule="auto"/>
        <w:ind w:left="0" w:firstLine="709"/>
        <w:jc w:val="both"/>
        <w:rPr>
          <w:rFonts w:ascii="Times New Roman" w:hAnsi="Times New Roman" w:cs="Times New Roman"/>
          <w:sz w:val="24"/>
          <w:szCs w:val="24"/>
        </w:rPr>
      </w:pPr>
      <w:r w:rsidRPr="002C7821">
        <w:rPr>
          <w:rFonts w:ascii="Times New Roman" w:hAnsi="Times New Roman" w:cs="Times New Roman"/>
          <w:sz w:val="24"/>
          <w:szCs w:val="24"/>
        </w:rPr>
        <w:t>О защите персональных данных : Закон Респ. Беларусь от 7 мая 2021 г. № 99-З : в ред. от 1 июня 2022 г. № 175-З // ЭТАЛОН : информ.-поисковая система / Нац. центр правовой информ. Респ. Беларусь (дата обращения: 01.05.2026).</w:t>
      </w:r>
    </w:p>
    <w:p w:rsidR="0030059A" w:rsidRPr="00B644BF" w:rsidRDefault="0030059A" w:rsidP="0030059A">
      <w:pPr>
        <w:spacing w:after="0" w:line="240" w:lineRule="auto"/>
        <w:ind w:firstLine="709"/>
        <w:jc w:val="both"/>
        <w:rPr>
          <w:rFonts w:ascii="Times New Roman" w:hAnsi="Times New Roman" w:cs="Times New Roman"/>
          <w:sz w:val="28"/>
          <w:szCs w:val="28"/>
        </w:rPr>
      </w:pPr>
    </w:p>
    <w:p w:rsidR="0030059A" w:rsidRPr="00B644BF" w:rsidRDefault="0030059A" w:rsidP="006F7CFF">
      <w:pPr>
        <w:spacing w:after="0" w:line="240" w:lineRule="auto"/>
        <w:ind w:firstLine="709"/>
        <w:contextualSpacing/>
        <w:jc w:val="center"/>
        <w:rPr>
          <w:rFonts w:ascii="Times New Roman" w:hAnsi="Times New Roman" w:cs="Times New Roman"/>
          <w:b/>
          <w:sz w:val="36"/>
          <w:szCs w:val="28"/>
        </w:rPr>
      </w:pPr>
      <w:r w:rsidRPr="00B644BF">
        <w:rPr>
          <w:rFonts w:ascii="Times New Roman" w:hAnsi="Times New Roman" w:cs="Times New Roman"/>
          <w:b/>
          <w:sz w:val="28"/>
          <w:shd w:val="clear" w:color="auto" w:fill="FFFFFF"/>
        </w:rPr>
        <w:t>ПРОБЛЕМЫ КВАЛИФИКАЦИИ IT-ХИЩЕНИЙ И МЕЖДУНАРОДНЫЙ ОПЫТ ИХ РАЗРЕШЕНИЯ</w:t>
      </w:r>
    </w:p>
    <w:p w:rsidR="0030059A" w:rsidRPr="00B644BF" w:rsidRDefault="0030059A" w:rsidP="006F7CFF">
      <w:pPr>
        <w:spacing w:after="0" w:line="240" w:lineRule="auto"/>
        <w:ind w:firstLine="709"/>
        <w:contextualSpacing/>
        <w:jc w:val="center"/>
        <w:rPr>
          <w:rFonts w:ascii="Times New Roman" w:hAnsi="Times New Roman" w:cs="Times New Roman"/>
          <w:b/>
          <w:sz w:val="28"/>
          <w:szCs w:val="28"/>
        </w:rPr>
      </w:pPr>
    </w:p>
    <w:p w:rsidR="0030059A" w:rsidRPr="00B644BF" w:rsidRDefault="0030059A" w:rsidP="006F7CFF">
      <w:pPr>
        <w:spacing w:after="0" w:line="240" w:lineRule="auto"/>
        <w:ind w:firstLine="709"/>
        <w:contextualSpacing/>
        <w:jc w:val="center"/>
        <w:rPr>
          <w:rFonts w:ascii="Times New Roman" w:hAnsi="Times New Roman" w:cs="Times New Roman"/>
          <w:b/>
          <w:sz w:val="28"/>
          <w:szCs w:val="28"/>
        </w:rPr>
      </w:pPr>
      <w:r w:rsidRPr="00B644BF">
        <w:rPr>
          <w:rFonts w:ascii="Times New Roman" w:hAnsi="Times New Roman" w:cs="Times New Roman"/>
          <w:b/>
          <w:sz w:val="28"/>
          <w:szCs w:val="28"/>
        </w:rPr>
        <w:t>Минина Виктория Владимировна</w:t>
      </w:r>
    </w:p>
    <w:p w:rsidR="0030059A" w:rsidRPr="00B644BF" w:rsidRDefault="0030059A" w:rsidP="006F7CFF">
      <w:pPr>
        <w:spacing w:after="0" w:line="240" w:lineRule="auto"/>
        <w:ind w:firstLine="709"/>
        <w:contextualSpacing/>
        <w:jc w:val="center"/>
        <w:rPr>
          <w:rFonts w:ascii="Times New Roman" w:hAnsi="Times New Roman" w:cs="Times New Roman"/>
          <w:sz w:val="28"/>
          <w:szCs w:val="28"/>
        </w:rPr>
      </w:pPr>
      <w:r w:rsidRPr="00B644BF">
        <w:rPr>
          <w:rFonts w:ascii="Times New Roman" w:hAnsi="Times New Roman" w:cs="Times New Roman"/>
          <w:sz w:val="28"/>
          <w:szCs w:val="28"/>
        </w:rPr>
        <w:t>старший преподаватель кафедры юриспруденции</w:t>
      </w:r>
    </w:p>
    <w:p w:rsidR="0030059A" w:rsidRPr="00B644BF" w:rsidRDefault="0030059A" w:rsidP="006F7CFF">
      <w:pPr>
        <w:spacing w:after="0" w:line="240" w:lineRule="auto"/>
        <w:ind w:firstLine="709"/>
        <w:contextualSpacing/>
        <w:jc w:val="center"/>
        <w:rPr>
          <w:rFonts w:ascii="Times New Roman" w:hAnsi="Times New Roman" w:cs="Times New Roman"/>
          <w:sz w:val="28"/>
          <w:szCs w:val="28"/>
        </w:rPr>
      </w:pPr>
      <w:r w:rsidRPr="00B644BF">
        <w:rPr>
          <w:rFonts w:ascii="Times New Roman" w:hAnsi="Times New Roman" w:cs="Times New Roman"/>
          <w:sz w:val="28"/>
          <w:szCs w:val="28"/>
        </w:rPr>
        <w:t>Учреждения образования «Могилевский государственный университет имени А.А. Кулешова»</w:t>
      </w:r>
    </w:p>
    <w:p w:rsidR="0030059A" w:rsidRPr="00B644BF" w:rsidRDefault="0030059A" w:rsidP="006F7CFF">
      <w:pPr>
        <w:spacing w:after="0" w:line="240" w:lineRule="auto"/>
        <w:ind w:firstLine="709"/>
        <w:contextualSpacing/>
        <w:jc w:val="center"/>
        <w:rPr>
          <w:rFonts w:ascii="Times New Roman" w:hAnsi="Times New Roman" w:cs="Times New Roman"/>
          <w:sz w:val="28"/>
          <w:szCs w:val="28"/>
        </w:rPr>
      </w:pPr>
      <w:r w:rsidRPr="00B644BF">
        <w:rPr>
          <w:rFonts w:ascii="Times New Roman" w:hAnsi="Times New Roman" w:cs="Times New Roman"/>
          <w:sz w:val="28"/>
          <w:szCs w:val="28"/>
        </w:rPr>
        <w:t>(г. Могилев, Беларусь)</w:t>
      </w:r>
    </w:p>
    <w:p w:rsidR="0030059A" w:rsidRPr="006F7CFF" w:rsidRDefault="00F975FD" w:rsidP="006F7CFF">
      <w:pPr>
        <w:spacing w:after="0" w:line="240" w:lineRule="auto"/>
        <w:ind w:firstLine="709"/>
        <w:contextualSpacing/>
        <w:jc w:val="center"/>
        <w:rPr>
          <w:rFonts w:ascii="Times New Roman" w:hAnsi="Times New Roman" w:cs="Times New Roman"/>
          <w:sz w:val="28"/>
          <w:szCs w:val="28"/>
        </w:rPr>
      </w:pPr>
      <w:hyperlink r:id="rId18" w:history="1">
        <w:r w:rsidR="0030059A" w:rsidRPr="006F7CFF">
          <w:rPr>
            <w:rStyle w:val="a5"/>
            <w:rFonts w:ascii="Times New Roman" w:hAnsi="Times New Roman" w:cs="Times New Roman"/>
            <w:color w:val="auto"/>
            <w:sz w:val="28"/>
            <w:szCs w:val="28"/>
            <w:u w:val="none"/>
            <w:lang w:val="en-US"/>
          </w:rPr>
          <w:t>minina</w:t>
        </w:r>
        <w:r w:rsidR="0030059A" w:rsidRPr="006F7CFF">
          <w:rPr>
            <w:rStyle w:val="a5"/>
            <w:rFonts w:ascii="Times New Roman" w:hAnsi="Times New Roman" w:cs="Times New Roman"/>
            <w:color w:val="auto"/>
            <w:sz w:val="28"/>
            <w:szCs w:val="28"/>
            <w:u w:val="none"/>
          </w:rPr>
          <w:t>@</w:t>
        </w:r>
        <w:r w:rsidR="0030059A" w:rsidRPr="006F7CFF">
          <w:rPr>
            <w:rStyle w:val="a5"/>
            <w:rFonts w:ascii="Times New Roman" w:hAnsi="Times New Roman" w:cs="Times New Roman"/>
            <w:color w:val="auto"/>
            <w:sz w:val="28"/>
            <w:szCs w:val="28"/>
            <w:u w:val="none"/>
            <w:lang w:val="en-US"/>
          </w:rPr>
          <w:t>m</w:t>
        </w:r>
        <w:r w:rsidR="0030059A" w:rsidRPr="006F7CFF">
          <w:rPr>
            <w:rStyle w:val="a5"/>
            <w:rFonts w:ascii="Times New Roman" w:hAnsi="Times New Roman" w:cs="Times New Roman"/>
            <w:color w:val="auto"/>
            <w:sz w:val="28"/>
            <w:szCs w:val="28"/>
            <w:u w:val="none"/>
          </w:rPr>
          <w:t>,</w:t>
        </w:r>
        <w:r w:rsidR="0030059A" w:rsidRPr="006F7CFF">
          <w:rPr>
            <w:rStyle w:val="a5"/>
            <w:rFonts w:ascii="Times New Roman" w:hAnsi="Times New Roman" w:cs="Times New Roman"/>
            <w:color w:val="auto"/>
            <w:sz w:val="28"/>
            <w:szCs w:val="28"/>
            <w:u w:val="none"/>
            <w:lang w:val="en-US"/>
          </w:rPr>
          <w:t>msu</w:t>
        </w:r>
        <w:r w:rsidR="0030059A" w:rsidRPr="006F7CFF">
          <w:rPr>
            <w:rStyle w:val="a5"/>
            <w:rFonts w:ascii="Times New Roman" w:hAnsi="Times New Roman" w:cs="Times New Roman"/>
            <w:color w:val="auto"/>
            <w:sz w:val="28"/>
            <w:szCs w:val="28"/>
            <w:u w:val="none"/>
          </w:rPr>
          <w:t>.</w:t>
        </w:r>
        <w:r w:rsidR="0030059A" w:rsidRPr="006F7CFF">
          <w:rPr>
            <w:rStyle w:val="a5"/>
            <w:rFonts w:ascii="Times New Roman" w:hAnsi="Times New Roman" w:cs="Times New Roman"/>
            <w:color w:val="auto"/>
            <w:sz w:val="28"/>
            <w:szCs w:val="28"/>
            <w:u w:val="none"/>
            <w:lang w:val="en-US"/>
          </w:rPr>
          <w:t>by</w:t>
        </w:r>
      </w:hyperlink>
    </w:p>
    <w:p w:rsidR="0030059A" w:rsidRPr="00B644BF" w:rsidRDefault="0030059A" w:rsidP="006F7CFF">
      <w:pPr>
        <w:spacing w:after="0" w:line="240" w:lineRule="auto"/>
        <w:ind w:firstLine="709"/>
        <w:contextualSpacing/>
        <w:jc w:val="center"/>
        <w:rPr>
          <w:rFonts w:ascii="Times New Roman" w:hAnsi="Times New Roman" w:cs="Times New Roman"/>
          <w:sz w:val="28"/>
          <w:szCs w:val="28"/>
        </w:rPr>
      </w:pPr>
    </w:p>
    <w:p w:rsidR="0030059A" w:rsidRPr="00B644BF" w:rsidRDefault="0030059A" w:rsidP="006F7CFF">
      <w:pPr>
        <w:pStyle w:val="af0"/>
        <w:spacing w:line="240" w:lineRule="auto"/>
        <w:contextualSpacing/>
        <w:rPr>
          <w:color w:val="auto"/>
          <w:sz w:val="24"/>
        </w:rPr>
      </w:pPr>
      <w:r w:rsidRPr="00B644BF">
        <w:rPr>
          <w:b/>
          <w:color w:val="auto"/>
          <w:sz w:val="24"/>
          <w:szCs w:val="28"/>
        </w:rPr>
        <w:t xml:space="preserve">Аннотация. </w:t>
      </w:r>
      <w:r w:rsidRPr="00B644BF">
        <w:rPr>
          <w:color w:val="auto"/>
          <w:sz w:val="24"/>
        </w:rPr>
        <w:t xml:space="preserve">Белорусское уголовное законодательство прошло значительный путь эволюции, адаптируясь к реалиям цифровой экономики. Вместе с тем, </w:t>
      </w:r>
      <w:r w:rsidRPr="00B644BF">
        <w:rPr>
          <w:color w:val="auto"/>
          <w:sz w:val="24"/>
        </w:rPr>
        <w:lastRenderedPageBreak/>
        <w:t>правоприменительная практика продолжает сталкиваться с проблемами квалификации и расследования хищений в сфере информационных технологий. Фундаментальная сложность заключается в экстерриториальном, транснациональном характере киберпреступности.</w:t>
      </w:r>
    </w:p>
    <w:p w:rsidR="0030059A" w:rsidRPr="00B644BF" w:rsidRDefault="0030059A" w:rsidP="006F7CFF">
      <w:pPr>
        <w:spacing w:after="0" w:line="240" w:lineRule="auto"/>
        <w:ind w:firstLine="709"/>
        <w:contextualSpacing/>
        <w:jc w:val="both"/>
        <w:rPr>
          <w:rFonts w:ascii="Times New Roman" w:hAnsi="Times New Roman" w:cs="Times New Roman"/>
          <w:b/>
          <w:sz w:val="24"/>
          <w:szCs w:val="24"/>
        </w:rPr>
      </w:pPr>
      <w:r w:rsidRPr="00B644BF">
        <w:rPr>
          <w:rFonts w:ascii="Times New Roman" w:hAnsi="Times New Roman" w:cs="Times New Roman"/>
          <w:b/>
          <w:sz w:val="24"/>
          <w:szCs w:val="28"/>
        </w:rPr>
        <w:t xml:space="preserve">Ключевые слова. </w:t>
      </w:r>
      <w:r w:rsidRPr="00B644BF">
        <w:rPr>
          <w:rFonts w:ascii="Times New Roman" w:hAnsi="Times New Roman" w:cs="Times New Roman"/>
          <w:sz w:val="24"/>
          <w:szCs w:val="24"/>
        </w:rPr>
        <w:t>Киберпреступность, модификация компьютерной информации, мошенничество, предмет хищения.</w:t>
      </w:r>
    </w:p>
    <w:p w:rsidR="0030059A" w:rsidRPr="00B644BF" w:rsidRDefault="0030059A" w:rsidP="006F7CFF">
      <w:pPr>
        <w:spacing w:after="0" w:line="240" w:lineRule="auto"/>
        <w:ind w:firstLine="709"/>
        <w:contextualSpacing/>
        <w:jc w:val="both"/>
        <w:rPr>
          <w:rFonts w:ascii="Times New Roman" w:hAnsi="Times New Roman" w:cs="Times New Roman"/>
          <w:b/>
          <w:sz w:val="28"/>
          <w:szCs w:val="28"/>
        </w:rPr>
      </w:pPr>
    </w:p>
    <w:p w:rsidR="0030059A" w:rsidRPr="00B644BF" w:rsidRDefault="0030059A" w:rsidP="006F7CFF">
      <w:pPr>
        <w:pStyle w:val="af0"/>
        <w:spacing w:line="240" w:lineRule="auto"/>
        <w:contextualSpacing/>
        <w:rPr>
          <w:color w:val="auto"/>
        </w:rPr>
      </w:pPr>
      <w:r w:rsidRPr="00B644BF">
        <w:rPr>
          <w:color w:val="auto"/>
        </w:rPr>
        <w:t>В отличие от традиционных имущественных посягательств, где преступник, орудие и предмет преступления локализованы в едином физическом пространстве, цифровая среда стирает государственные границы. Злоумышленник может находиться на территории одного государства, использовать серверы и программное обеспечение, маршрутизированные через страны Европы или Азии, а похищенные безналичные средства выводить через каскад подставных счетов («дропов») в третьи юрисдикции. Проблема установления места совершения преступления, сбора цифровых доказательств и идентификации виновных лиц становится главным вызовом для правоохранительной системы.</w:t>
      </w:r>
    </w:p>
    <w:p w:rsidR="0030059A" w:rsidRPr="00B644BF" w:rsidRDefault="0030059A" w:rsidP="006F7CFF">
      <w:pPr>
        <w:pStyle w:val="af0"/>
        <w:spacing w:line="240" w:lineRule="auto"/>
        <w:contextualSpacing/>
        <w:rPr>
          <w:color w:val="auto"/>
        </w:rPr>
      </w:pPr>
      <w:r w:rsidRPr="00B644BF">
        <w:rPr>
          <w:color w:val="auto"/>
        </w:rPr>
        <w:t>Для пресечения деятельности подобных транснациональных сетей и организованных групп правоохранительными органами Республики Беларусь ведется масштабная работа по ликвидации их технической и финансовой инфраструктуры. По данным Следственного комитета Республики Беларусь, только за 2025 год была выявлена информационная база 110 скам-сообществ, осуществлявших преступления посредством фишинга и иных форм киберхищений, а также зафиксирована деятельность порядка 24 теневых дроп-сервисов, оказывавших услуги по легализации и выводу похищенных денежных средств. Благодаря предпринятым мерам удалось заблокировать аккаунты, чат-боты и каналы 65 скам-групп и 16 дроп-сервисов, что позволило существенно подорвать финансовую логистику организованной киберпреступности [2].</w:t>
      </w:r>
    </w:p>
    <w:p w:rsidR="0030059A" w:rsidRPr="00B644BF" w:rsidRDefault="0030059A" w:rsidP="006F7CFF">
      <w:pPr>
        <w:pStyle w:val="af0"/>
        <w:spacing w:line="240" w:lineRule="auto"/>
        <w:contextualSpacing/>
        <w:rPr>
          <w:color w:val="auto"/>
        </w:rPr>
      </w:pPr>
      <w:r w:rsidRPr="00B644BF">
        <w:rPr>
          <w:color w:val="auto"/>
        </w:rPr>
        <w:t>Особый научный и практический интерес представляет сравнительно-правовой анализ с законодательством Российской Федерации, которая является основным партнером Республики Беларусь в рамках Союзного государства и, к сожалению, наиболее частой страной локализации киберпреступных элементов, действующих в отношении белорусских граждан.</w:t>
      </w:r>
    </w:p>
    <w:p w:rsidR="0030059A" w:rsidRPr="00B644BF" w:rsidRDefault="0030059A" w:rsidP="006F7CFF">
      <w:pPr>
        <w:pStyle w:val="af0"/>
        <w:spacing w:line="240" w:lineRule="auto"/>
        <w:contextualSpacing/>
        <w:rPr>
          <w:color w:val="auto"/>
        </w:rPr>
      </w:pPr>
      <w:r w:rsidRPr="00B644BF">
        <w:rPr>
          <w:color w:val="auto"/>
        </w:rPr>
        <w:t xml:space="preserve">В отличие от Республики Беларусь, где высокотехнологичные хищения квалифицируются по единой специализированной норме (ст. 212 УК «Хищение имущества путем модификации компьютерной информации»), российский законодатель пошел по пути максимальной детализации и дробления мошеннических составов. Еще в 2012 году Уголовный кодекс Российской Федерации (далее — УК РФ) был дополнен сразу несколькими специальными нормами, среди которых особое место заняли статья 159.3 (Мошенничество с использованием электронных </w:t>
      </w:r>
      <w:r w:rsidRPr="00B644BF">
        <w:rPr>
          <w:color w:val="auto"/>
        </w:rPr>
        <w:lastRenderedPageBreak/>
        <w:t>средств платежа) и статья 159.6 (Мошенничество в сфере компьютерной информации) [6].</w:t>
      </w:r>
    </w:p>
    <w:p w:rsidR="0030059A" w:rsidRPr="00B644BF" w:rsidRDefault="0030059A" w:rsidP="006F7CFF">
      <w:pPr>
        <w:pStyle w:val="af0"/>
        <w:spacing w:line="240" w:lineRule="auto"/>
        <w:contextualSpacing/>
        <w:rPr>
          <w:color w:val="auto"/>
        </w:rPr>
      </w:pPr>
      <w:r w:rsidRPr="00B644BF">
        <w:rPr>
          <w:color w:val="auto"/>
        </w:rPr>
        <w:t>Диспозиция статьи 159.6 УК РФ предусматривает ответственность за хищение чужого имущества или приобретение права на чужое имущество путем ввода, удаления, блокирования, модификации компьютерной информации либо иного вмешательства в функционирование средств хранения, обработки или передачи компьютерной информации [6]. На первый взгляд, данная норма является полным аналогом белорусской статьи 212 УК. Однако российская правоприменительная практика пошла по совершенно иному, весьма ограничительному пути.</w:t>
      </w:r>
    </w:p>
    <w:p w:rsidR="0030059A" w:rsidRPr="00B644BF" w:rsidRDefault="0030059A" w:rsidP="006F7CFF">
      <w:pPr>
        <w:pStyle w:val="af0"/>
        <w:spacing w:line="240" w:lineRule="auto"/>
        <w:contextualSpacing/>
        <w:rPr>
          <w:color w:val="auto"/>
        </w:rPr>
      </w:pPr>
      <w:r w:rsidRPr="00B644BF">
        <w:rPr>
          <w:color w:val="auto"/>
        </w:rPr>
        <w:t>Долгое время в правоохранительных органах России шли дискуссии: как квалифицировать действия лица, которое нашло чужую банковскую карту (в том числе бесконтактную) и расплатилось ею в магазине или сняло наличные в банкомате? В Республике Беларусь такие действия безоговорочно образуют состав хищения путем модификации (ст. 212 УК). В России же точка в этом споре была поставлена Постановлением Пленума Верховного Суда РФ от 30 ноября 2017 г. № 48 (в ред. 2022 г.).</w:t>
      </w:r>
    </w:p>
    <w:p w:rsidR="0030059A" w:rsidRPr="00B644BF" w:rsidRDefault="0030059A" w:rsidP="006F7CFF">
      <w:pPr>
        <w:pStyle w:val="af0"/>
        <w:spacing w:line="240" w:lineRule="auto"/>
        <w:contextualSpacing/>
        <w:rPr>
          <w:color w:val="auto"/>
        </w:rPr>
      </w:pPr>
      <w:r w:rsidRPr="00B644BF">
        <w:rPr>
          <w:color w:val="auto"/>
        </w:rPr>
        <w:t>Высшая судебная инстанция России разъяснила, что хищение денежных средств, совершенное с использованием виновным чужой или поддельной платежной карты путем выдачи наличных в банкомате, либо путем оплаты товаров в терминале, не образует состава мошенничества, так как при этом не оказывается обманного воздействия на человека (работника банка или магазина), а банкомат и терминал не могут быть субъектами заблуждения [3]. Также эти действия не признаются мошенничеством в сфере компьютерной информации (ст. 159.6 УК РФ), так как виновный не осуществляет целенаправленного взлома программного обеспечения, а лишь использует готовый механизм оплаты.</w:t>
      </w:r>
    </w:p>
    <w:p w:rsidR="0030059A" w:rsidRPr="00B644BF" w:rsidRDefault="0030059A" w:rsidP="006F7CFF">
      <w:pPr>
        <w:pStyle w:val="af0"/>
        <w:spacing w:line="240" w:lineRule="auto"/>
        <w:contextualSpacing/>
        <w:rPr>
          <w:color w:val="auto"/>
        </w:rPr>
      </w:pPr>
      <w:r w:rsidRPr="00B644BF">
        <w:rPr>
          <w:color w:val="auto"/>
        </w:rPr>
        <w:t>Для решения этой коллизии в 2018 году в УК РФ был введен принципиально новый квалифицирующий признак в классическую статью 158 УК РФ «Кража» — пункт «г» части 3: «кража, совершенная с банковского счета, а равно в отношении электронных денежных средств».</w:t>
      </w:r>
    </w:p>
    <w:p w:rsidR="0030059A" w:rsidRPr="00B644BF" w:rsidRDefault="0030059A" w:rsidP="006F7CFF">
      <w:pPr>
        <w:pStyle w:val="af0"/>
        <w:spacing w:line="240" w:lineRule="auto"/>
        <w:contextualSpacing/>
        <w:rPr>
          <w:color w:val="auto"/>
        </w:rPr>
      </w:pPr>
      <w:r w:rsidRPr="00B644BF">
        <w:rPr>
          <w:color w:val="auto"/>
        </w:rPr>
        <w:t xml:space="preserve">Сравнивая этот подход с белорусским, Д. В. Гриб в своем исследовании отмечает, что российская модель переводит акцент со способа преступления (компьютерной модификации) на локализацию предмета (банковский счет). Иными словами, любое тайное неправомерное списание денег со счета в России сегодня признается классической кражей (п. «г» ч. 3 ст. 158 УК РФ), а не IT-преступлением [1, с. 78]. При этом российский законодатель отнес кражу с банковского счета к категории тяжких преступлений вне зависимости от суммы похищенного, что делает уголовную репрессию в РФ значительно более жесткой на начальном этапе по сравнению с белорусской статьей 212 УК (которая в ч. 1 является преступлением, не представляющим большой общественной опасности). </w:t>
      </w:r>
    </w:p>
    <w:p w:rsidR="0030059A" w:rsidRPr="00B644BF" w:rsidRDefault="0030059A" w:rsidP="006F7CFF">
      <w:pPr>
        <w:pStyle w:val="af0"/>
        <w:spacing w:line="240" w:lineRule="auto"/>
        <w:contextualSpacing/>
        <w:rPr>
          <w:color w:val="auto"/>
        </w:rPr>
      </w:pPr>
      <w:r w:rsidRPr="00B644BF">
        <w:rPr>
          <w:color w:val="auto"/>
        </w:rPr>
        <w:lastRenderedPageBreak/>
        <w:t>Следует обратить пристальное внимание на опыт государств Центральной Азии, которые в последние годы провели масштабную модернизацию уголовного закона в ответ на цифровизацию экономики. Концептуально иной подход к правовой регламентации IT-хищений демонстрирует Республика Казахстан.</w:t>
      </w:r>
    </w:p>
    <w:p w:rsidR="0030059A" w:rsidRPr="00B644BF" w:rsidRDefault="0030059A" w:rsidP="006F7CFF">
      <w:pPr>
        <w:pStyle w:val="af0"/>
        <w:spacing w:line="240" w:lineRule="auto"/>
        <w:contextualSpacing/>
        <w:rPr>
          <w:color w:val="auto"/>
        </w:rPr>
      </w:pPr>
      <w:r w:rsidRPr="00B644BF">
        <w:rPr>
          <w:color w:val="auto"/>
        </w:rPr>
        <w:t>Уголовный кодекс Республики Казахстан (далее — УК РК), принятый в 2014 году пошел по пути имплементации цифровых способов совершения преступления в качестве квалифицирующих признаков в классические составы посягательств на собственность.</w:t>
      </w:r>
    </w:p>
    <w:p w:rsidR="0030059A" w:rsidRPr="00B644BF" w:rsidRDefault="0030059A" w:rsidP="006F7CFF">
      <w:pPr>
        <w:pStyle w:val="af0"/>
        <w:spacing w:line="240" w:lineRule="auto"/>
        <w:contextualSpacing/>
        <w:rPr>
          <w:color w:val="auto"/>
        </w:rPr>
      </w:pPr>
      <w:r w:rsidRPr="00B644BF">
        <w:rPr>
          <w:color w:val="auto"/>
        </w:rPr>
        <w:t>Так, в статье 188 УК РК «Кража» предусмотрен специальный квалифицирующий признак (пункт 4 части 2): кража, совершенная «путем незаконного доступа в информационную систему либо изменения информации, передаваемой по сетям телекоммуникаций» [4]. Аналогичным образом сконструирована статья 190 УК РК «Мошенничество», часть 2 которой отягчает ответственность за мошенничество, совершенное «путем обмана или злоупотребления доверием пользователя информационной системы или сети Интернет» [4]. Главное преимущество казахстанской модели заключается в отсутствии искусственного дробления составов: правоприменителю не нужно разграничивать «компьютерное» и «обычное» хищение как разные виды преступлений, достаточно лишь установить использование IT-инфраструктуры как отягчающего обстоятельства единого деликта.</w:t>
      </w:r>
    </w:p>
    <w:p w:rsidR="0030059A" w:rsidRPr="00B644BF" w:rsidRDefault="0030059A" w:rsidP="006F7CFF">
      <w:pPr>
        <w:pStyle w:val="af0"/>
        <w:spacing w:line="240" w:lineRule="auto"/>
        <w:contextualSpacing/>
        <w:rPr>
          <w:color w:val="auto"/>
        </w:rPr>
      </w:pPr>
      <w:r w:rsidRPr="00B644BF">
        <w:rPr>
          <w:color w:val="auto"/>
        </w:rPr>
        <w:t>Схожая, но еще более жесткая уголовно-правовая политика реализуется в Республике Узбекистан. В действующей редакции статьи 169 УК РУз «Кража» закреплен пункт «б» части 3: кража, совершенная «с незаконным (несанкционированным) проникновением в информационную систему или ее использованием». Аналогичный признак («с использованием информационной системы, в том числе информационных технологий») введен в часть 2 статьи 168 УК РУз «Мошенничество» [5]. Особенность узбекского опыта заключается в категоризации данных деяний: совершение хищения с использованием информационных технологий автоматически переводит преступление в разряд тяжких, за которое предусмотрено безальтернативное наказание в виде лишения свободы на срок от пяти до восьми лет. Столь суровые санкции обусловлены стремлением государства обеспечить максимальную превенцию посягательств на электронную финансовую систему страны.</w:t>
      </w:r>
    </w:p>
    <w:p w:rsidR="0030059A" w:rsidRPr="00B644BF" w:rsidRDefault="0030059A" w:rsidP="006F7CFF">
      <w:pPr>
        <w:pStyle w:val="af0"/>
        <w:spacing w:line="240" w:lineRule="auto"/>
        <w:contextualSpacing/>
        <w:rPr>
          <w:color w:val="auto"/>
        </w:rPr>
      </w:pPr>
      <w:r w:rsidRPr="00B644BF">
        <w:rPr>
          <w:color w:val="auto"/>
        </w:rPr>
        <w:t xml:space="preserve">Таким образом, сравнивая белорусскую (выделение самостоятельного IT-состава — ст. 212 УК), российскую (дробление на компьютерное мошенничество и банковскую кражу) и центральноазиатскую (внедрение IT-квалификаторов в традиционные статьи) модели, можно констатировать, что идеальной юридической конструкции пока не выработано. Белорусский подход представляется наиболее сбалансированным с точки зрения теории уголовного права, </w:t>
      </w:r>
      <w:r w:rsidRPr="00B644BF">
        <w:rPr>
          <w:color w:val="auto"/>
        </w:rPr>
        <w:lastRenderedPageBreak/>
        <w:t>поскольку он подчеркивает двухобъектную природу деяния (посягательство и на собственность, и на информационную безопасность посредством модификации данных). Однако общим вектором для всех стран СНГ является признание киберхищений деяниями повышенной общественной опасности, требующими ужесточения уголовной репрессии.</w:t>
      </w:r>
    </w:p>
    <w:p w:rsidR="0030059A" w:rsidRPr="00B644BF" w:rsidRDefault="0030059A" w:rsidP="006F7CFF">
      <w:pPr>
        <w:spacing w:after="0" w:line="240" w:lineRule="auto"/>
        <w:ind w:firstLine="709"/>
        <w:contextualSpacing/>
        <w:jc w:val="both"/>
        <w:rPr>
          <w:rFonts w:ascii="Times New Roman" w:hAnsi="Times New Roman" w:cs="Times New Roman"/>
          <w:sz w:val="28"/>
          <w:szCs w:val="28"/>
        </w:rPr>
      </w:pPr>
    </w:p>
    <w:p w:rsidR="0030059A" w:rsidRPr="006F7CFF" w:rsidRDefault="0030059A" w:rsidP="006F7CFF">
      <w:pPr>
        <w:spacing w:after="0" w:line="240" w:lineRule="auto"/>
        <w:ind w:firstLine="709"/>
        <w:contextualSpacing/>
        <w:jc w:val="center"/>
        <w:rPr>
          <w:rFonts w:ascii="Times New Roman" w:hAnsi="Times New Roman" w:cs="Times New Roman"/>
          <w:b/>
          <w:sz w:val="28"/>
          <w:szCs w:val="28"/>
        </w:rPr>
      </w:pPr>
      <w:r w:rsidRPr="006F7CFF">
        <w:rPr>
          <w:rFonts w:ascii="Times New Roman" w:hAnsi="Times New Roman" w:cs="Times New Roman"/>
          <w:b/>
          <w:sz w:val="28"/>
          <w:szCs w:val="28"/>
        </w:rPr>
        <w:t>Список литературы</w:t>
      </w:r>
    </w:p>
    <w:p w:rsidR="0030059A" w:rsidRPr="00B644BF" w:rsidRDefault="0030059A" w:rsidP="006F7CFF">
      <w:pPr>
        <w:pStyle w:val="af0"/>
        <w:numPr>
          <w:ilvl w:val="0"/>
          <w:numId w:val="14"/>
        </w:numPr>
        <w:spacing w:line="240" w:lineRule="auto"/>
        <w:ind w:left="0" w:firstLine="709"/>
        <w:rPr>
          <w:bCs/>
          <w:color w:val="auto"/>
          <w:sz w:val="24"/>
          <w:szCs w:val="28"/>
        </w:rPr>
      </w:pPr>
      <w:bookmarkStart w:id="7" w:name="_Ref226161560"/>
      <w:r w:rsidRPr="00B644BF">
        <w:rPr>
          <w:bCs/>
          <w:color w:val="auto"/>
          <w:sz w:val="24"/>
          <w:szCs w:val="28"/>
        </w:rPr>
        <w:t>Гриб, Д. В. Хищение имущества путем использования информационных технологий в Уголовном кодексе Российской Федерации и Республики Беларусь: сравнительный аспект / Д. В. Гриб // Вестник Московского университета МВД России. – 2019. – № 4. – С. 75–80. – URL: https://cyberleninka.ru/article/n/hischenie-imuschestva-putem-ispolzovaniya-informatsionnyh-tehnologii-v-ugolovnom-kodekse-rossii-skoi-federatsii-i-respubliki-belarus (дата обращения: 04.05.2026).</w:t>
      </w:r>
      <w:bookmarkEnd w:id="7"/>
    </w:p>
    <w:p w:rsidR="0030059A" w:rsidRPr="00B644BF" w:rsidRDefault="0030059A" w:rsidP="006F7CFF">
      <w:pPr>
        <w:pStyle w:val="af0"/>
        <w:numPr>
          <w:ilvl w:val="0"/>
          <w:numId w:val="14"/>
        </w:numPr>
        <w:spacing w:line="240" w:lineRule="auto"/>
        <w:ind w:left="0" w:firstLine="709"/>
        <w:rPr>
          <w:bCs/>
          <w:color w:val="auto"/>
          <w:sz w:val="24"/>
          <w:szCs w:val="28"/>
        </w:rPr>
      </w:pPr>
      <w:bookmarkStart w:id="8" w:name="_Ref226158959"/>
      <w:r w:rsidRPr="00B644BF">
        <w:rPr>
          <w:bCs/>
          <w:color w:val="auto"/>
          <w:sz w:val="24"/>
          <w:szCs w:val="28"/>
        </w:rPr>
        <w:t>Киберпреступность-2025: что происходит на самом деле // Следственный комитет Республики Беларусь. – URL: https://sk.gov.by/ru/news-ru/view/kiberprestupnost-2025-chto-proisxodit-na-samom-dele-15685/ (дата обращения: 29.04.2026).</w:t>
      </w:r>
      <w:bookmarkEnd w:id="8"/>
    </w:p>
    <w:p w:rsidR="0030059A" w:rsidRPr="00B644BF" w:rsidRDefault="0030059A" w:rsidP="006F7CFF">
      <w:pPr>
        <w:pStyle w:val="af0"/>
        <w:numPr>
          <w:ilvl w:val="0"/>
          <w:numId w:val="14"/>
        </w:numPr>
        <w:spacing w:line="240" w:lineRule="auto"/>
        <w:ind w:left="0" w:firstLine="709"/>
        <w:rPr>
          <w:bCs/>
          <w:color w:val="auto"/>
          <w:sz w:val="24"/>
          <w:szCs w:val="28"/>
        </w:rPr>
      </w:pPr>
      <w:bookmarkStart w:id="9" w:name="_Ref226160950"/>
      <w:r w:rsidRPr="00B644BF">
        <w:rPr>
          <w:color w:val="auto"/>
          <w:sz w:val="24"/>
        </w:rPr>
        <w:t>О судебной практике по делам о мошенничестве, присвоении и растрате : постановление Пленума Верхов. Суда Рос. Федерации от 30 нояб. 2017 г. № 48 : в ред. от 15 дек. 2022 г. № 38 // КонсультантПлюс. Россия : справ. правовая система (дата обращения: 29.04.2026).</w:t>
      </w:r>
      <w:bookmarkEnd w:id="9"/>
    </w:p>
    <w:p w:rsidR="0030059A" w:rsidRPr="00B644BF" w:rsidRDefault="0030059A" w:rsidP="006F7CFF">
      <w:pPr>
        <w:pStyle w:val="af0"/>
        <w:numPr>
          <w:ilvl w:val="0"/>
          <w:numId w:val="14"/>
        </w:numPr>
        <w:spacing w:line="240" w:lineRule="auto"/>
        <w:ind w:left="0" w:firstLine="709"/>
        <w:rPr>
          <w:bCs/>
          <w:color w:val="auto"/>
          <w:sz w:val="24"/>
          <w:szCs w:val="24"/>
        </w:rPr>
      </w:pPr>
      <w:bookmarkStart w:id="10" w:name="_Ref226219184"/>
      <w:r w:rsidRPr="00B644BF">
        <w:rPr>
          <w:color w:val="auto"/>
          <w:sz w:val="24"/>
          <w:szCs w:val="24"/>
        </w:rPr>
        <w:t>Уголовный кодекс Республики Казахстан : 3 июля 2014 г. № 226-V ЗРК : принят Парламентом Респ. Казахстан 3 июля 2014 г. : в ред. Закона Респ. Казахстан от 8марта 2026 г. // Информационно-правовая система нормативных правовых актов Республики Казахстан «Әділет». – URL: https://adilet.zan.kz/rus/docs/K1400000226 (дата обращения: 04.05.2026).</w:t>
      </w:r>
      <w:bookmarkEnd w:id="10"/>
    </w:p>
    <w:p w:rsidR="0030059A" w:rsidRPr="00B644BF" w:rsidRDefault="0030059A" w:rsidP="006F7CFF">
      <w:pPr>
        <w:pStyle w:val="af0"/>
        <w:numPr>
          <w:ilvl w:val="0"/>
          <w:numId w:val="14"/>
        </w:numPr>
        <w:spacing w:line="240" w:lineRule="auto"/>
        <w:ind w:left="0" w:firstLine="709"/>
        <w:rPr>
          <w:bCs/>
          <w:color w:val="auto"/>
          <w:sz w:val="24"/>
          <w:szCs w:val="24"/>
        </w:rPr>
      </w:pPr>
      <w:bookmarkStart w:id="11" w:name="_Ref226220501"/>
      <w:r w:rsidRPr="00B644BF">
        <w:rPr>
          <w:bCs/>
          <w:color w:val="auto"/>
          <w:sz w:val="24"/>
          <w:szCs w:val="24"/>
        </w:rPr>
        <w:t>Уголовный кодекс Республики Узбекистан : 22 сент. 1994 г. № 2012-XII : утвержден Законом Респ. Узбекистан от 22 сент. 1994 г. : в ред. Закона Респ. Узбекистан от 11марта 2026 г. № ЗРУ-1121 // Национальная база данных законодательства Республики Узбекистан (LexUZ). – URL: https://lex.uz/docs/111457 (дата обращения: 04.05.2026).</w:t>
      </w:r>
      <w:bookmarkEnd w:id="11"/>
    </w:p>
    <w:p w:rsidR="0030059A" w:rsidRPr="00B644BF" w:rsidRDefault="0030059A" w:rsidP="006F7CFF">
      <w:pPr>
        <w:pStyle w:val="af0"/>
        <w:numPr>
          <w:ilvl w:val="0"/>
          <w:numId w:val="14"/>
        </w:numPr>
        <w:spacing w:line="240" w:lineRule="auto"/>
        <w:ind w:left="0" w:firstLine="709"/>
        <w:rPr>
          <w:bCs/>
          <w:color w:val="auto"/>
          <w:sz w:val="24"/>
          <w:szCs w:val="24"/>
        </w:rPr>
      </w:pPr>
      <w:bookmarkStart w:id="12" w:name="_Ref226160334"/>
      <w:r w:rsidRPr="00B644BF">
        <w:rPr>
          <w:color w:val="auto"/>
          <w:sz w:val="24"/>
        </w:rPr>
        <w:t xml:space="preserve">Уголовный кодекс Российской Федерации : 13 июня 1996 г. № 63-ФЗ : принят </w:t>
      </w:r>
      <w:r w:rsidRPr="00B644BF">
        <w:rPr>
          <w:color w:val="auto"/>
          <w:sz w:val="24"/>
          <w:szCs w:val="24"/>
        </w:rPr>
        <w:t>Гос. Думой 24 мая 1996 г. : одобр. Советом Федерации 5 июня 1996 г. : в ред. от 20фев. 2026 г. // КонсультантПлюс. Россия : справ. правовая система (дата обращения: 29.04.2026).</w:t>
      </w:r>
      <w:bookmarkEnd w:id="12"/>
    </w:p>
    <w:p w:rsidR="0030059A" w:rsidRPr="00B644BF" w:rsidRDefault="0030059A" w:rsidP="0030059A">
      <w:pPr>
        <w:spacing w:line="240" w:lineRule="auto"/>
        <w:contextualSpacing/>
        <w:jc w:val="both"/>
        <w:rPr>
          <w:rFonts w:ascii="Times New Roman" w:hAnsi="Times New Roman" w:cs="Times New Roman"/>
          <w:sz w:val="28"/>
          <w:szCs w:val="28"/>
        </w:rPr>
      </w:pPr>
    </w:p>
    <w:p w:rsidR="0030059A" w:rsidRPr="00B644BF" w:rsidRDefault="0030059A" w:rsidP="00F3513E">
      <w:pPr>
        <w:spacing w:after="0" w:line="240" w:lineRule="auto"/>
        <w:ind w:firstLine="709"/>
        <w:jc w:val="center"/>
        <w:rPr>
          <w:rFonts w:ascii="Times New Roman" w:hAnsi="Times New Roman" w:cs="Times New Roman"/>
          <w:b/>
          <w:sz w:val="28"/>
          <w:szCs w:val="28"/>
        </w:rPr>
      </w:pPr>
      <w:r w:rsidRPr="00B644BF">
        <w:rPr>
          <w:rFonts w:ascii="Times New Roman" w:hAnsi="Times New Roman" w:cs="Times New Roman"/>
          <w:b/>
          <w:sz w:val="28"/>
          <w:szCs w:val="28"/>
        </w:rPr>
        <w:t>ПРЕДСТАВЛЕНИЯ ДЕТЕЙ СТАРШЕГО ДОШКОЛЬНОГО ВОЗРАСТА О ЦЕЛЯХ УСТОЙЧИВОГО РАЗВИТИЯ: СОДЕРЖАТЕЛЬНЫЙ АСПЕКТ</w:t>
      </w:r>
    </w:p>
    <w:p w:rsidR="0030059A" w:rsidRPr="00B644BF" w:rsidRDefault="0030059A" w:rsidP="00F3513E">
      <w:pPr>
        <w:spacing w:after="0" w:line="240" w:lineRule="auto"/>
        <w:ind w:firstLine="709"/>
        <w:jc w:val="center"/>
        <w:rPr>
          <w:rFonts w:ascii="Times New Roman" w:hAnsi="Times New Roman" w:cs="Times New Roman"/>
          <w:b/>
          <w:sz w:val="28"/>
          <w:szCs w:val="28"/>
        </w:rPr>
      </w:pPr>
    </w:p>
    <w:p w:rsidR="0030059A" w:rsidRPr="00B644BF" w:rsidRDefault="0030059A" w:rsidP="00F3513E">
      <w:pPr>
        <w:spacing w:after="0" w:line="240" w:lineRule="auto"/>
        <w:ind w:firstLine="709"/>
        <w:jc w:val="center"/>
        <w:rPr>
          <w:rFonts w:ascii="Times New Roman" w:hAnsi="Times New Roman" w:cs="Times New Roman"/>
          <w:b/>
          <w:sz w:val="28"/>
          <w:szCs w:val="28"/>
        </w:rPr>
      </w:pPr>
      <w:r w:rsidRPr="00B644BF">
        <w:rPr>
          <w:rFonts w:ascii="Times New Roman" w:hAnsi="Times New Roman" w:cs="Times New Roman"/>
          <w:b/>
          <w:sz w:val="28"/>
          <w:szCs w:val="28"/>
        </w:rPr>
        <w:t>Можарова Татьяна Александровна</w:t>
      </w:r>
    </w:p>
    <w:p w:rsidR="0030059A" w:rsidRPr="00B644BF" w:rsidRDefault="0030059A" w:rsidP="00F3513E">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старший преподаватель кафедры педагогики детства и семьи</w:t>
      </w:r>
    </w:p>
    <w:p w:rsidR="0030059A" w:rsidRPr="00B644BF" w:rsidRDefault="0030059A" w:rsidP="00F3513E">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учреждения образования «Могилевский государственный университет</w:t>
      </w:r>
    </w:p>
    <w:p w:rsidR="0030059A" w:rsidRPr="00B644BF" w:rsidRDefault="0030059A" w:rsidP="00F3513E">
      <w:pPr>
        <w:spacing w:after="0" w:line="240" w:lineRule="auto"/>
        <w:ind w:firstLine="709"/>
        <w:jc w:val="center"/>
        <w:rPr>
          <w:rFonts w:ascii="Times New Roman" w:hAnsi="Times New Roman" w:cs="Times New Roman"/>
          <w:spacing w:val="-4"/>
          <w:sz w:val="28"/>
          <w:szCs w:val="28"/>
          <w:lang w:val="be-BY"/>
        </w:rPr>
      </w:pPr>
      <w:r w:rsidRPr="00B644BF">
        <w:rPr>
          <w:rFonts w:ascii="Times New Roman" w:hAnsi="Times New Roman" w:cs="Times New Roman"/>
          <w:sz w:val="28"/>
          <w:szCs w:val="28"/>
        </w:rPr>
        <w:t>имени А.А. Кулешова»; (г. Могилев, Беларусь)</w:t>
      </w:r>
    </w:p>
    <w:p w:rsidR="0030059A" w:rsidRPr="00F3513E" w:rsidRDefault="00F975FD" w:rsidP="00F3513E">
      <w:pPr>
        <w:autoSpaceDE w:val="0"/>
        <w:autoSpaceDN w:val="0"/>
        <w:adjustRightInd w:val="0"/>
        <w:spacing w:after="0" w:line="240" w:lineRule="auto"/>
        <w:ind w:firstLine="709"/>
        <w:jc w:val="center"/>
        <w:rPr>
          <w:rFonts w:ascii="Times New Roman" w:hAnsi="Times New Roman" w:cs="Times New Roman"/>
          <w:sz w:val="28"/>
          <w:szCs w:val="28"/>
        </w:rPr>
      </w:pPr>
      <w:hyperlink r:id="rId19" w:history="1">
        <w:r w:rsidR="0030059A" w:rsidRPr="00F3513E">
          <w:rPr>
            <w:rStyle w:val="a5"/>
            <w:rFonts w:ascii="Times New Roman" w:hAnsi="Times New Roman" w:cs="Times New Roman"/>
            <w:color w:val="auto"/>
            <w:sz w:val="28"/>
            <w:szCs w:val="28"/>
            <w:u w:val="none"/>
            <w:lang w:val="en-US"/>
          </w:rPr>
          <w:t>mozharova</w:t>
        </w:r>
        <w:r w:rsidR="0030059A" w:rsidRPr="00F3513E">
          <w:rPr>
            <w:rStyle w:val="a5"/>
            <w:rFonts w:ascii="Times New Roman" w:hAnsi="Times New Roman" w:cs="Times New Roman"/>
            <w:color w:val="auto"/>
            <w:sz w:val="28"/>
            <w:szCs w:val="28"/>
            <w:u w:val="none"/>
          </w:rPr>
          <w:t>@</w:t>
        </w:r>
        <w:r w:rsidR="0030059A" w:rsidRPr="00F3513E">
          <w:rPr>
            <w:rStyle w:val="a5"/>
            <w:rFonts w:ascii="Times New Roman" w:hAnsi="Times New Roman" w:cs="Times New Roman"/>
            <w:color w:val="auto"/>
            <w:sz w:val="28"/>
            <w:szCs w:val="28"/>
            <w:u w:val="none"/>
            <w:lang w:val="en-US"/>
          </w:rPr>
          <w:t>m</w:t>
        </w:r>
        <w:r w:rsidR="0030059A" w:rsidRPr="00F3513E">
          <w:rPr>
            <w:rStyle w:val="a5"/>
            <w:rFonts w:ascii="Times New Roman" w:hAnsi="Times New Roman" w:cs="Times New Roman"/>
            <w:color w:val="auto"/>
            <w:sz w:val="28"/>
            <w:szCs w:val="28"/>
            <w:u w:val="none"/>
          </w:rPr>
          <w:t>.</w:t>
        </w:r>
        <w:r w:rsidR="0030059A" w:rsidRPr="00F3513E">
          <w:rPr>
            <w:rStyle w:val="a5"/>
            <w:rFonts w:ascii="Times New Roman" w:hAnsi="Times New Roman" w:cs="Times New Roman"/>
            <w:color w:val="auto"/>
            <w:sz w:val="28"/>
            <w:szCs w:val="28"/>
            <w:u w:val="none"/>
            <w:lang w:val="en-US"/>
          </w:rPr>
          <w:t>msu</w:t>
        </w:r>
        <w:r w:rsidR="0030059A" w:rsidRPr="00F3513E">
          <w:rPr>
            <w:rStyle w:val="a5"/>
            <w:rFonts w:ascii="Times New Roman" w:hAnsi="Times New Roman" w:cs="Times New Roman"/>
            <w:color w:val="auto"/>
            <w:sz w:val="28"/>
            <w:szCs w:val="28"/>
            <w:u w:val="none"/>
          </w:rPr>
          <w:t>.</w:t>
        </w:r>
        <w:r w:rsidR="0030059A" w:rsidRPr="00F3513E">
          <w:rPr>
            <w:rStyle w:val="a5"/>
            <w:rFonts w:ascii="Times New Roman" w:hAnsi="Times New Roman" w:cs="Times New Roman"/>
            <w:color w:val="auto"/>
            <w:sz w:val="28"/>
            <w:szCs w:val="28"/>
            <w:u w:val="none"/>
            <w:lang w:val="en-US"/>
          </w:rPr>
          <w:t>by</w:t>
        </w:r>
      </w:hyperlink>
    </w:p>
    <w:p w:rsidR="0030059A" w:rsidRPr="00B644BF" w:rsidRDefault="0030059A" w:rsidP="00F3513E">
      <w:pPr>
        <w:spacing w:after="0" w:line="240" w:lineRule="auto"/>
        <w:ind w:firstLine="709"/>
        <w:jc w:val="center"/>
        <w:rPr>
          <w:rFonts w:ascii="Times New Roman" w:hAnsi="Times New Roman" w:cs="Times New Roman"/>
          <w:b/>
          <w:sz w:val="28"/>
          <w:szCs w:val="28"/>
        </w:rPr>
      </w:pPr>
      <w:r w:rsidRPr="00B644BF">
        <w:rPr>
          <w:rFonts w:ascii="Times New Roman" w:hAnsi="Times New Roman" w:cs="Times New Roman"/>
          <w:b/>
          <w:sz w:val="28"/>
          <w:szCs w:val="28"/>
        </w:rPr>
        <w:t>Кичигина Елизавета Сергеевна</w:t>
      </w:r>
    </w:p>
    <w:p w:rsidR="0030059A" w:rsidRPr="00B644BF" w:rsidRDefault="0030059A" w:rsidP="00F3513E">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студент факультета педагогики и психологии детства</w:t>
      </w:r>
    </w:p>
    <w:p w:rsidR="0030059A" w:rsidRPr="00B644BF" w:rsidRDefault="0030059A" w:rsidP="00F3513E">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lastRenderedPageBreak/>
        <w:t>учреждения образования «Могилевский государственный университет</w:t>
      </w:r>
    </w:p>
    <w:p w:rsidR="0030059A" w:rsidRPr="00B644BF" w:rsidRDefault="0030059A" w:rsidP="00F3513E">
      <w:pPr>
        <w:spacing w:after="0" w:line="240" w:lineRule="auto"/>
        <w:ind w:firstLine="709"/>
        <w:jc w:val="center"/>
        <w:rPr>
          <w:rFonts w:ascii="Times New Roman" w:hAnsi="Times New Roman" w:cs="Times New Roman"/>
          <w:spacing w:val="-4"/>
          <w:sz w:val="28"/>
          <w:szCs w:val="28"/>
          <w:lang w:val="be-BY"/>
        </w:rPr>
      </w:pPr>
      <w:r w:rsidRPr="00B644BF">
        <w:rPr>
          <w:rFonts w:ascii="Times New Roman" w:hAnsi="Times New Roman" w:cs="Times New Roman"/>
          <w:sz w:val="28"/>
          <w:szCs w:val="28"/>
        </w:rPr>
        <w:t>имени А.А. Кулешова»; (г. Могилев, Беларусь)</w:t>
      </w:r>
    </w:p>
    <w:p w:rsidR="0030059A" w:rsidRPr="00F3513E" w:rsidRDefault="00F975FD" w:rsidP="00F3513E">
      <w:pPr>
        <w:autoSpaceDE w:val="0"/>
        <w:autoSpaceDN w:val="0"/>
        <w:adjustRightInd w:val="0"/>
        <w:spacing w:after="0" w:line="240" w:lineRule="auto"/>
        <w:ind w:firstLine="709"/>
        <w:jc w:val="center"/>
        <w:rPr>
          <w:rFonts w:ascii="Times New Roman" w:hAnsi="Times New Roman" w:cs="Times New Roman"/>
          <w:sz w:val="28"/>
          <w:szCs w:val="28"/>
        </w:rPr>
      </w:pPr>
      <w:hyperlink r:id="rId20" w:history="1">
        <w:r w:rsidR="0030059A" w:rsidRPr="00F3513E">
          <w:rPr>
            <w:rStyle w:val="a5"/>
            <w:rFonts w:ascii="Times New Roman" w:hAnsi="Times New Roman" w:cs="Times New Roman"/>
            <w:color w:val="auto"/>
            <w:sz w:val="28"/>
            <w:szCs w:val="28"/>
            <w:u w:val="none"/>
            <w:lang w:val="en-US"/>
          </w:rPr>
          <w:t>elizavetakichigina</w:t>
        </w:r>
        <w:r w:rsidR="0030059A" w:rsidRPr="00F3513E">
          <w:rPr>
            <w:rStyle w:val="a5"/>
            <w:rFonts w:ascii="Times New Roman" w:hAnsi="Times New Roman" w:cs="Times New Roman"/>
            <w:color w:val="auto"/>
            <w:sz w:val="28"/>
            <w:szCs w:val="28"/>
            <w:u w:val="none"/>
          </w:rPr>
          <w:t>78@</w:t>
        </w:r>
        <w:r w:rsidR="0030059A" w:rsidRPr="00F3513E">
          <w:rPr>
            <w:rStyle w:val="a5"/>
            <w:rFonts w:ascii="Times New Roman" w:hAnsi="Times New Roman" w:cs="Times New Roman"/>
            <w:color w:val="auto"/>
            <w:sz w:val="28"/>
            <w:szCs w:val="28"/>
            <w:u w:val="none"/>
            <w:lang w:val="en-US"/>
          </w:rPr>
          <w:t>gmail</w:t>
        </w:r>
        <w:r w:rsidR="0030059A" w:rsidRPr="00F3513E">
          <w:rPr>
            <w:rStyle w:val="a5"/>
            <w:rFonts w:ascii="Times New Roman" w:hAnsi="Times New Roman" w:cs="Times New Roman"/>
            <w:color w:val="auto"/>
            <w:sz w:val="28"/>
            <w:szCs w:val="28"/>
            <w:u w:val="none"/>
          </w:rPr>
          <w:t>.</w:t>
        </w:r>
        <w:r w:rsidR="0030059A" w:rsidRPr="00F3513E">
          <w:rPr>
            <w:rStyle w:val="a5"/>
            <w:rFonts w:ascii="Times New Roman" w:hAnsi="Times New Roman" w:cs="Times New Roman"/>
            <w:color w:val="auto"/>
            <w:sz w:val="28"/>
            <w:szCs w:val="28"/>
            <w:u w:val="none"/>
            <w:lang w:val="en-US"/>
          </w:rPr>
          <w:t>com</w:t>
        </w:r>
      </w:hyperlink>
    </w:p>
    <w:p w:rsidR="0030059A" w:rsidRPr="00B644BF" w:rsidRDefault="0030059A" w:rsidP="00F3513E">
      <w:pPr>
        <w:autoSpaceDE w:val="0"/>
        <w:autoSpaceDN w:val="0"/>
        <w:adjustRightInd w:val="0"/>
        <w:spacing w:after="0" w:line="240" w:lineRule="auto"/>
        <w:ind w:firstLine="709"/>
        <w:jc w:val="center"/>
        <w:rPr>
          <w:rFonts w:ascii="Times New Roman" w:hAnsi="Times New Roman" w:cs="Times New Roman"/>
          <w:i/>
          <w:sz w:val="28"/>
          <w:szCs w:val="28"/>
        </w:rPr>
      </w:pPr>
    </w:p>
    <w:p w:rsidR="0030059A" w:rsidRPr="00B644BF" w:rsidRDefault="0030059A" w:rsidP="00F3513E">
      <w:pPr>
        <w:widowControl w:val="0"/>
        <w:tabs>
          <w:tab w:val="left" w:pos="7200"/>
        </w:tabs>
        <w:spacing w:after="0" w:line="240" w:lineRule="auto"/>
        <w:ind w:firstLine="709"/>
        <w:jc w:val="both"/>
        <w:rPr>
          <w:rFonts w:ascii="Times New Roman" w:hAnsi="Times New Roman" w:cs="Times New Roman"/>
          <w:sz w:val="24"/>
          <w:szCs w:val="24"/>
        </w:rPr>
      </w:pPr>
      <w:r w:rsidRPr="00B644BF">
        <w:rPr>
          <w:rFonts w:ascii="Times New Roman" w:hAnsi="Times New Roman" w:cs="Times New Roman"/>
          <w:b/>
          <w:sz w:val="24"/>
          <w:szCs w:val="24"/>
        </w:rPr>
        <w:t>Аннотация.</w:t>
      </w:r>
      <w:r w:rsidRPr="00B644BF">
        <w:rPr>
          <w:rFonts w:ascii="Times New Roman" w:hAnsi="Times New Roman" w:cs="Times New Roman"/>
          <w:sz w:val="24"/>
          <w:szCs w:val="24"/>
        </w:rPr>
        <w:t xml:space="preserve"> В данной статье осуществляется анализ современных путей достижения международных целей устойчивого развития (ЦУР) в контексте дошкольного образования. С учетом возрастных возможностей старших дошкольников предложено авторское видение примерного содержания задач по формированию представлений о ЦУР у детей на этапе дошкольного детства.</w:t>
      </w:r>
    </w:p>
    <w:p w:rsidR="0030059A" w:rsidRPr="00B644BF" w:rsidRDefault="0030059A" w:rsidP="00F3513E">
      <w:pPr>
        <w:widowControl w:val="0"/>
        <w:tabs>
          <w:tab w:val="left" w:pos="7200"/>
        </w:tabs>
        <w:spacing w:after="0" w:line="240" w:lineRule="auto"/>
        <w:ind w:firstLine="709"/>
        <w:jc w:val="both"/>
        <w:rPr>
          <w:rFonts w:ascii="Times New Roman" w:hAnsi="Times New Roman" w:cs="Times New Roman"/>
          <w:sz w:val="24"/>
          <w:szCs w:val="24"/>
        </w:rPr>
      </w:pPr>
      <w:r w:rsidRPr="00B644BF">
        <w:rPr>
          <w:rFonts w:ascii="Times New Roman" w:hAnsi="Times New Roman" w:cs="Times New Roman"/>
          <w:b/>
          <w:sz w:val="24"/>
          <w:szCs w:val="24"/>
        </w:rPr>
        <w:t xml:space="preserve">Ключевые слова. </w:t>
      </w:r>
      <w:r w:rsidRPr="00B644BF">
        <w:rPr>
          <w:rFonts w:ascii="Times New Roman" w:hAnsi="Times New Roman" w:cs="Times New Roman"/>
          <w:sz w:val="24"/>
          <w:szCs w:val="24"/>
        </w:rPr>
        <w:t>Цели устойчивого развития, дошкольное образование, старший дошкольный возраст, формирование представлений, экологическое образование.</w:t>
      </w:r>
    </w:p>
    <w:p w:rsidR="0030059A" w:rsidRPr="00B644BF" w:rsidRDefault="0030059A" w:rsidP="00F3513E">
      <w:pPr>
        <w:widowControl w:val="0"/>
        <w:tabs>
          <w:tab w:val="left" w:pos="7200"/>
        </w:tabs>
        <w:spacing w:after="0" w:line="240" w:lineRule="auto"/>
        <w:ind w:firstLine="709"/>
        <w:jc w:val="both"/>
        <w:rPr>
          <w:rFonts w:ascii="Times New Roman" w:hAnsi="Times New Roman" w:cs="Times New Roman"/>
          <w:i/>
          <w:sz w:val="24"/>
          <w:szCs w:val="24"/>
        </w:rPr>
      </w:pPr>
    </w:p>
    <w:p w:rsidR="0030059A" w:rsidRPr="00B644BF" w:rsidRDefault="0030059A" w:rsidP="00F3513E">
      <w:pPr>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rPr>
        <w:t xml:space="preserve">В условиях нарастающих экологических вызовов, негативно влияющих на благополучие и устойчивое развитие человечества, особенно актуальным становится образование в контексте ЦУР. На сегодняшний день в Республике Беларусь ведется системная работа по вовлечению подрастающего поколения в проблематику ЦУР. Система дошкольного образования также постепенно подключается к теме устойчивого развития: в детских садах формируются инициативные команды воспитателей, появляются первые адаптированные ресурсы, например, видеоматериалы, циклы бесед, экологические сказки о ЦУР для детей. Однако, по-прежнему отмечается общая нехватка системной методической базы для реализации экологического образования в рамках ЦУР на ступени дошкольного образования. </w:t>
      </w:r>
    </w:p>
    <w:p w:rsidR="0030059A" w:rsidRPr="00B644BF" w:rsidRDefault="0030059A" w:rsidP="00F3513E">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Актуальность проблемы определила цель нашего исследования в </w:t>
      </w:r>
      <w:r w:rsidRPr="00B644BF">
        <w:rPr>
          <w:rFonts w:ascii="Times New Roman" w:eastAsia="Georgia" w:hAnsi="Times New Roman" w:cs="Times New Roman"/>
          <w:sz w:val="28"/>
          <w:szCs w:val="28"/>
        </w:rPr>
        <w:t>рамках подготовки дипломной работы</w:t>
      </w:r>
      <w:r w:rsidRPr="00B644BF">
        <w:rPr>
          <w:rFonts w:ascii="Times New Roman" w:hAnsi="Times New Roman" w:cs="Times New Roman"/>
          <w:sz w:val="28"/>
          <w:szCs w:val="28"/>
        </w:rPr>
        <w:t>: теоретическое обоснование и методическое обеспечение формирования представлений о ЦУР у детей старшего дошкольного возраста посредством экологической сказки.</w:t>
      </w:r>
    </w:p>
    <w:p w:rsidR="0030059A" w:rsidRPr="00B644BF" w:rsidRDefault="0030059A" w:rsidP="00F3513E">
      <w:pPr>
        <w:spacing w:after="0" w:line="240" w:lineRule="auto"/>
        <w:ind w:firstLine="709"/>
        <w:jc w:val="both"/>
        <w:rPr>
          <w:rFonts w:ascii="Times New Roman" w:eastAsia="Times New Roman" w:hAnsi="Times New Roman" w:cs="Times New Roman"/>
          <w:sz w:val="28"/>
          <w:szCs w:val="28"/>
        </w:rPr>
      </w:pPr>
      <w:r w:rsidRPr="00B644BF">
        <w:rPr>
          <w:rFonts w:ascii="Times New Roman" w:hAnsi="Times New Roman" w:cs="Times New Roman"/>
          <w:sz w:val="28"/>
          <w:szCs w:val="28"/>
          <w:shd w:val="clear" w:color="auto" w:fill="FFFFFF"/>
        </w:rPr>
        <w:t xml:space="preserve">В ходе настоящего исследования был проведен анализ содержания учебной программы дошкольного образования Республики Беларусь на предмет решения задач образования в области ЦУР. В результате мы пришли к выводу, что содержание программы лишь косвенно способствует формированию представлений о ЦУР. Например, в рамках Цели 3 «Хорошее здоровье и благополучие», в образовательной области «Ребенок и природа» для воспитанников старшего дошкольного возраста в компоненте «Организм человека» присутствует задача: «формировать представления об условиях, от которых зависит здоровье человека: качество среды обитания, правильность удовлетворения жизненно важных потребностей (свежий и чистый воздух, свежая и чистая вода, чистая, разнообразная и полезная еда, движения, занятия физическими упражнениями) и др.» [1, с. 164]. В свою очередь, в компоненте «Неживая природа» к Цели 12 «Ответственное потребление и производство», можно </w:t>
      </w:r>
      <w:r w:rsidRPr="00B644BF">
        <w:rPr>
          <w:rFonts w:ascii="Times New Roman" w:hAnsi="Times New Roman" w:cs="Times New Roman"/>
          <w:sz w:val="28"/>
          <w:szCs w:val="28"/>
          <w:shd w:val="clear" w:color="auto" w:fill="FFFFFF"/>
        </w:rPr>
        <w:lastRenderedPageBreak/>
        <w:t>отнести следующие задачи: «формировать представления о природных ресурсах (вода, солнечная энергия, энергия ветра, газ, нефть, уголь), используемых человеком в промышленности, сельском хозяйстве, дома, в учреждениях дошкольного образования, необходимости их бережливого использования» [1, с. 164]; «формировать представления об ответственном обращении с отходами и вторичными материальными ресурсами» [1, с. 164]. К Цели 15 «Сохранение экосистем суши», может быть отнесена задача: «формировать представления о среде обитания живых организмов (вода, почва, наземно-воздушная среда)» [1, с. 164] и т.д.</w:t>
      </w:r>
    </w:p>
    <w:p w:rsidR="0030059A" w:rsidRPr="00B644BF" w:rsidRDefault="0030059A" w:rsidP="00F3513E">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Поскольку одной из ключевых особенностей образования в области устойчивого развития до 2030 года является его непосредственная связь с ЦУР на всех ступенях непрерывного образования, представляется необходимым определить потенциальное содержание представлений о ЦУР, которое способны усвоить дети старшего дошкольного возраста. В таблице 1 отражено авторское видение примерного содержания задач по формированию представлений о ЦУР у старших дошкольников (за исключением ЦУР 8 и ЦУР 9 – их содержание, на наш взгляд, является сложным для освоения детьми, поскольку выходит за рамки их когнитивного и социального опыта). </w:t>
      </w:r>
    </w:p>
    <w:p w:rsidR="0030059A" w:rsidRPr="00B644BF" w:rsidRDefault="0030059A" w:rsidP="0030059A">
      <w:pPr>
        <w:spacing w:after="0" w:line="240" w:lineRule="auto"/>
        <w:ind w:firstLine="567"/>
        <w:jc w:val="both"/>
        <w:rPr>
          <w:rFonts w:ascii="Times New Roman" w:hAnsi="Times New Roman" w:cs="Times New Roman"/>
          <w:sz w:val="28"/>
          <w:szCs w:val="28"/>
          <w:shd w:val="clear" w:color="auto" w:fill="FFFFFF"/>
        </w:rPr>
      </w:pPr>
    </w:p>
    <w:p w:rsidR="0030059A" w:rsidRPr="00B644BF" w:rsidRDefault="0030059A" w:rsidP="0030059A">
      <w:pPr>
        <w:spacing w:after="0" w:line="240" w:lineRule="auto"/>
        <w:ind w:firstLine="567"/>
        <w:jc w:val="both"/>
        <w:rPr>
          <w:rFonts w:ascii="Times New Roman" w:hAnsi="Times New Roman" w:cs="Times New Roman"/>
          <w:sz w:val="28"/>
          <w:szCs w:val="28"/>
          <w:shd w:val="clear" w:color="auto" w:fill="FFFFFF"/>
        </w:rPr>
      </w:pPr>
      <w:r w:rsidRPr="00B644BF">
        <w:rPr>
          <w:rFonts w:ascii="Times New Roman" w:hAnsi="Times New Roman" w:cs="Times New Roman"/>
          <w:sz w:val="28"/>
          <w:szCs w:val="28"/>
          <w:shd w:val="clear" w:color="auto" w:fill="FFFFFF"/>
        </w:rPr>
        <w:t xml:space="preserve">Таблица1 – Примерное содержание задач по формированию представлений о ЦУР у детей старшего дошкольного возраста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40"/>
        <w:gridCol w:w="7246"/>
      </w:tblGrid>
      <w:tr w:rsidR="0030059A" w:rsidRPr="00B644BF" w:rsidTr="00211EEF">
        <w:trPr>
          <w:cantSplit/>
          <w:trHeight w:val="1134"/>
        </w:trPr>
        <w:tc>
          <w:tcPr>
            <w:tcW w:w="2040" w:type="dxa"/>
          </w:tcPr>
          <w:p w:rsidR="0030059A" w:rsidRPr="00B644BF" w:rsidRDefault="0030059A" w:rsidP="00211EEF">
            <w:pPr>
              <w:spacing w:after="0" w:line="240" w:lineRule="auto"/>
              <w:jc w:val="center"/>
              <w:rPr>
                <w:rFonts w:ascii="Times New Roman" w:hAnsi="Times New Roman" w:cs="Times New Roman"/>
                <w:sz w:val="24"/>
                <w:szCs w:val="24"/>
              </w:rPr>
            </w:pPr>
            <w:r w:rsidRPr="00B644BF">
              <w:rPr>
                <w:rFonts w:ascii="Times New Roman" w:hAnsi="Times New Roman" w:cs="Times New Roman"/>
                <w:sz w:val="24"/>
                <w:szCs w:val="24"/>
              </w:rPr>
              <w:t>ЦУР 1. Ликвидация нищеты</w:t>
            </w:r>
          </w:p>
        </w:tc>
        <w:tc>
          <w:tcPr>
            <w:tcW w:w="7246" w:type="dxa"/>
          </w:tcPr>
          <w:p w:rsidR="0030059A" w:rsidRPr="00B644BF" w:rsidRDefault="0030059A" w:rsidP="00211EEF">
            <w:pPr>
              <w:spacing w:after="0" w:line="240" w:lineRule="auto"/>
              <w:jc w:val="both"/>
              <w:rPr>
                <w:rFonts w:ascii="Times New Roman" w:hAnsi="Times New Roman" w:cs="Times New Roman"/>
                <w:sz w:val="24"/>
                <w:szCs w:val="24"/>
              </w:rPr>
            </w:pPr>
            <w:r w:rsidRPr="00B644BF">
              <w:rPr>
                <w:rFonts w:ascii="Times New Roman" w:hAnsi="Times New Roman" w:cs="Times New Roman"/>
                <w:sz w:val="24"/>
                <w:szCs w:val="24"/>
              </w:rPr>
              <w:t xml:space="preserve">Формировать представления о том, что на Земле есть люди, у которых нет всего того, что есть у нас (нет вкусной еды, чистой воды, нет игрушек и др.). </w:t>
            </w:r>
          </w:p>
          <w:p w:rsidR="0030059A" w:rsidRPr="00B644BF" w:rsidRDefault="0030059A" w:rsidP="00211EEF">
            <w:pPr>
              <w:spacing w:after="0" w:line="240" w:lineRule="auto"/>
              <w:jc w:val="both"/>
              <w:rPr>
                <w:rFonts w:ascii="Times New Roman" w:hAnsi="Times New Roman" w:cs="Times New Roman"/>
                <w:sz w:val="24"/>
                <w:szCs w:val="24"/>
              </w:rPr>
            </w:pPr>
            <w:r w:rsidRPr="00B644BF">
              <w:rPr>
                <w:rFonts w:ascii="Times New Roman" w:hAnsi="Times New Roman" w:cs="Times New Roman"/>
                <w:sz w:val="24"/>
                <w:szCs w:val="24"/>
              </w:rPr>
              <w:t xml:space="preserve">Воспитывать чувство сострадания и желание делиться с теми, кто в этом нуждается; формировать представления о том, как это делает мир лучше. </w:t>
            </w:r>
          </w:p>
        </w:tc>
      </w:tr>
      <w:tr w:rsidR="0030059A" w:rsidRPr="00B644BF" w:rsidTr="00211EEF">
        <w:trPr>
          <w:cantSplit/>
          <w:trHeight w:val="1134"/>
        </w:trPr>
        <w:tc>
          <w:tcPr>
            <w:tcW w:w="2040" w:type="dxa"/>
          </w:tcPr>
          <w:p w:rsidR="0030059A" w:rsidRPr="00B644BF" w:rsidRDefault="0030059A" w:rsidP="00211EEF">
            <w:pPr>
              <w:spacing w:after="0" w:line="240" w:lineRule="auto"/>
              <w:jc w:val="center"/>
              <w:rPr>
                <w:rFonts w:ascii="Times New Roman" w:hAnsi="Times New Roman" w:cs="Times New Roman"/>
                <w:sz w:val="24"/>
                <w:szCs w:val="24"/>
              </w:rPr>
            </w:pPr>
            <w:r w:rsidRPr="00B644BF">
              <w:rPr>
                <w:rFonts w:ascii="Times New Roman" w:hAnsi="Times New Roman" w:cs="Times New Roman"/>
                <w:sz w:val="24"/>
                <w:szCs w:val="24"/>
              </w:rPr>
              <w:t>ЦУР 2. Ликвидация голода</w:t>
            </w:r>
          </w:p>
        </w:tc>
        <w:tc>
          <w:tcPr>
            <w:tcW w:w="7246" w:type="dxa"/>
          </w:tcPr>
          <w:p w:rsidR="0030059A" w:rsidRPr="00B644BF" w:rsidRDefault="0030059A" w:rsidP="00211EEF">
            <w:pPr>
              <w:spacing w:after="0" w:line="240" w:lineRule="auto"/>
              <w:jc w:val="both"/>
              <w:rPr>
                <w:rFonts w:ascii="Times New Roman" w:hAnsi="Times New Roman" w:cs="Times New Roman"/>
                <w:sz w:val="24"/>
                <w:szCs w:val="24"/>
              </w:rPr>
            </w:pPr>
            <w:r w:rsidRPr="00B644BF">
              <w:rPr>
                <w:rFonts w:ascii="Times New Roman" w:hAnsi="Times New Roman" w:cs="Times New Roman"/>
                <w:sz w:val="24"/>
                <w:szCs w:val="24"/>
              </w:rPr>
              <w:t>Формировать представления о том, что еда – не просто вещь, а ценный ресурс, который нельзя выбрасывать зря; о том, что можно делиться излишками еды, передавая продукты нуждающимся и социально незащищенным людям.</w:t>
            </w:r>
          </w:p>
        </w:tc>
      </w:tr>
      <w:tr w:rsidR="0030059A" w:rsidRPr="00B644BF" w:rsidTr="00211EEF">
        <w:trPr>
          <w:cantSplit/>
          <w:trHeight w:val="1134"/>
        </w:trPr>
        <w:tc>
          <w:tcPr>
            <w:tcW w:w="2040" w:type="dxa"/>
          </w:tcPr>
          <w:p w:rsidR="0030059A" w:rsidRPr="00B644BF" w:rsidRDefault="0030059A" w:rsidP="00211EEF">
            <w:pPr>
              <w:spacing w:after="0" w:line="240" w:lineRule="auto"/>
              <w:jc w:val="center"/>
              <w:rPr>
                <w:rFonts w:ascii="Times New Roman" w:hAnsi="Times New Roman" w:cs="Times New Roman"/>
                <w:sz w:val="24"/>
                <w:szCs w:val="24"/>
              </w:rPr>
            </w:pPr>
            <w:r w:rsidRPr="00B644BF">
              <w:rPr>
                <w:rFonts w:ascii="Times New Roman" w:hAnsi="Times New Roman" w:cs="Times New Roman"/>
                <w:sz w:val="24"/>
                <w:szCs w:val="24"/>
              </w:rPr>
              <w:t xml:space="preserve">ЦУР 3. </w:t>
            </w:r>
          </w:p>
          <w:p w:rsidR="0030059A" w:rsidRPr="00B644BF" w:rsidRDefault="0030059A" w:rsidP="00211EEF">
            <w:pPr>
              <w:spacing w:after="0" w:line="240" w:lineRule="auto"/>
              <w:jc w:val="center"/>
              <w:rPr>
                <w:rFonts w:ascii="Times New Roman" w:hAnsi="Times New Roman" w:cs="Times New Roman"/>
                <w:sz w:val="24"/>
                <w:szCs w:val="24"/>
              </w:rPr>
            </w:pPr>
            <w:r w:rsidRPr="00B644BF">
              <w:rPr>
                <w:rFonts w:ascii="Times New Roman" w:hAnsi="Times New Roman" w:cs="Times New Roman"/>
                <w:sz w:val="24"/>
                <w:szCs w:val="24"/>
              </w:rPr>
              <w:t>Хорошее здоровье и благополучие</w:t>
            </w:r>
          </w:p>
        </w:tc>
        <w:tc>
          <w:tcPr>
            <w:tcW w:w="7246" w:type="dxa"/>
          </w:tcPr>
          <w:p w:rsidR="0030059A" w:rsidRPr="00B644BF" w:rsidRDefault="0030059A" w:rsidP="00211EEF">
            <w:pPr>
              <w:spacing w:after="0" w:line="240" w:lineRule="auto"/>
              <w:jc w:val="both"/>
              <w:rPr>
                <w:rFonts w:ascii="Times New Roman" w:hAnsi="Times New Roman" w:cs="Times New Roman"/>
                <w:sz w:val="24"/>
                <w:szCs w:val="24"/>
              </w:rPr>
            </w:pPr>
            <w:r w:rsidRPr="00B644BF">
              <w:rPr>
                <w:rFonts w:ascii="Times New Roman" w:hAnsi="Times New Roman" w:cs="Times New Roman"/>
                <w:sz w:val="24"/>
                <w:szCs w:val="24"/>
              </w:rPr>
              <w:t>Формировать представления о том, что здоровье человека как живого организма зависит от определенных условий среды (воздух, пища, определенная температура, свет, влага и др.); о том, что сознательное сохранение окружающей среды – это забота о своем здоровье.</w:t>
            </w:r>
          </w:p>
        </w:tc>
      </w:tr>
      <w:tr w:rsidR="0030059A" w:rsidRPr="00B644BF" w:rsidTr="00211EEF">
        <w:trPr>
          <w:cantSplit/>
          <w:trHeight w:val="835"/>
        </w:trPr>
        <w:tc>
          <w:tcPr>
            <w:tcW w:w="2040" w:type="dxa"/>
          </w:tcPr>
          <w:p w:rsidR="0030059A" w:rsidRPr="00B644BF" w:rsidRDefault="0030059A" w:rsidP="00211EEF">
            <w:pPr>
              <w:spacing w:after="0" w:line="240" w:lineRule="auto"/>
              <w:jc w:val="center"/>
              <w:rPr>
                <w:rFonts w:ascii="Times New Roman" w:hAnsi="Times New Roman" w:cs="Times New Roman"/>
                <w:sz w:val="24"/>
                <w:szCs w:val="24"/>
              </w:rPr>
            </w:pPr>
            <w:r w:rsidRPr="00B644BF">
              <w:rPr>
                <w:rFonts w:ascii="Times New Roman" w:hAnsi="Times New Roman" w:cs="Times New Roman"/>
                <w:sz w:val="24"/>
                <w:szCs w:val="24"/>
              </w:rPr>
              <w:t>ЦУР 4. Качественное образование</w:t>
            </w:r>
          </w:p>
        </w:tc>
        <w:tc>
          <w:tcPr>
            <w:tcW w:w="7246" w:type="dxa"/>
          </w:tcPr>
          <w:p w:rsidR="0030059A" w:rsidRPr="00B644BF" w:rsidRDefault="0030059A" w:rsidP="00211EEF">
            <w:pPr>
              <w:spacing w:after="0" w:line="240" w:lineRule="auto"/>
              <w:jc w:val="both"/>
              <w:rPr>
                <w:rFonts w:ascii="Times New Roman" w:hAnsi="Times New Roman" w:cs="Times New Roman"/>
                <w:sz w:val="24"/>
                <w:szCs w:val="24"/>
              </w:rPr>
            </w:pPr>
            <w:r w:rsidRPr="00B644BF">
              <w:rPr>
                <w:rFonts w:ascii="Times New Roman" w:hAnsi="Times New Roman" w:cs="Times New Roman"/>
                <w:sz w:val="24"/>
                <w:szCs w:val="24"/>
              </w:rPr>
              <w:t>Формировать представления о том, что обучение помогает развиваться, понимать окружающий мир, становиться успешным.</w:t>
            </w:r>
          </w:p>
        </w:tc>
      </w:tr>
      <w:tr w:rsidR="0030059A" w:rsidRPr="00B644BF" w:rsidTr="00211EEF">
        <w:trPr>
          <w:cantSplit/>
          <w:trHeight w:val="1134"/>
        </w:trPr>
        <w:tc>
          <w:tcPr>
            <w:tcW w:w="2040" w:type="dxa"/>
          </w:tcPr>
          <w:p w:rsidR="0030059A" w:rsidRPr="00B644BF" w:rsidRDefault="0030059A" w:rsidP="00211EEF">
            <w:pPr>
              <w:spacing w:after="0" w:line="240" w:lineRule="auto"/>
              <w:jc w:val="center"/>
              <w:rPr>
                <w:rFonts w:ascii="Times New Roman" w:hAnsi="Times New Roman" w:cs="Times New Roman"/>
                <w:sz w:val="24"/>
                <w:szCs w:val="24"/>
              </w:rPr>
            </w:pPr>
            <w:r w:rsidRPr="00B644BF">
              <w:rPr>
                <w:rFonts w:ascii="Times New Roman" w:hAnsi="Times New Roman" w:cs="Times New Roman"/>
                <w:sz w:val="24"/>
                <w:szCs w:val="24"/>
              </w:rPr>
              <w:t>ЦУР 5. Гендерное равенство</w:t>
            </w:r>
          </w:p>
        </w:tc>
        <w:tc>
          <w:tcPr>
            <w:tcW w:w="7246" w:type="dxa"/>
          </w:tcPr>
          <w:p w:rsidR="0030059A" w:rsidRPr="00B644BF" w:rsidRDefault="0030059A" w:rsidP="00211EEF">
            <w:pPr>
              <w:spacing w:after="0" w:line="240" w:lineRule="auto"/>
              <w:jc w:val="both"/>
              <w:rPr>
                <w:rFonts w:ascii="Times New Roman" w:hAnsi="Times New Roman" w:cs="Times New Roman"/>
                <w:sz w:val="24"/>
                <w:szCs w:val="24"/>
              </w:rPr>
            </w:pPr>
            <w:r w:rsidRPr="00B644BF">
              <w:rPr>
                <w:rFonts w:ascii="Times New Roman" w:hAnsi="Times New Roman" w:cs="Times New Roman"/>
                <w:sz w:val="24"/>
                <w:szCs w:val="24"/>
              </w:rPr>
              <w:t>Формировать представления о равенстве и уважении между мальчиками и девочками через совместные игры и общение, показывая, что все дети имеют равные права и возможности независимо от пола.</w:t>
            </w:r>
          </w:p>
        </w:tc>
      </w:tr>
      <w:tr w:rsidR="0030059A" w:rsidRPr="00B644BF" w:rsidTr="00211EEF">
        <w:trPr>
          <w:cantSplit/>
          <w:trHeight w:val="1134"/>
        </w:trPr>
        <w:tc>
          <w:tcPr>
            <w:tcW w:w="2040" w:type="dxa"/>
          </w:tcPr>
          <w:p w:rsidR="0030059A" w:rsidRPr="00B644BF" w:rsidRDefault="0030059A" w:rsidP="00211EEF">
            <w:pPr>
              <w:spacing w:after="0" w:line="240" w:lineRule="auto"/>
              <w:jc w:val="center"/>
              <w:rPr>
                <w:rFonts w:ascii="Times New Roman" w:hAnsi="Times New Roman" w:cs="Times New Roman"/>
                <w:sz w:val="24"/>
                <w:szCs w:val="24"/>
              </w:rPr>
            </w:pPr>
            <w:r w:rsidRPr="00B644BF">
              <w:rPr>
                <w:rFonts w:ascii="Times New Roman" w:hAnsi="Times New Roman" w:cs="Times New Roman"/>
                <w:sz w:val="24"/>
                <w:szCs w:val="24"/>
              </w:rPr>
              <w:lastRenderedPageBreak/>
              <w:t xml:space="preserve">ЦУР 6. </w:t>
            </w:r>
          </w:p>
          <w:p w:rsidR="0030059A" w:rsidRPr="00B644BF" w:rsidRDefault="0030059A" w:rsidP="00211EEF">
            <w:pPr>
              <w:spacing w:after="0" w:line="240" w:lineRule="auto"/>
              <w:jc w:val="center"/>
              <w:rPr>
                <w:rFonts w:ascii="Times New Roman" w:hAnsi="Times New Roman" w:cs="Times New Roman"/>
                <w:sz w:val="24"/>
                <w:szCs w:val="24"/>
              </w:rPr>
            </w:pPr>
            <w:r w:rsidRPr="00B644BF">
              <w:rPr>
                <w:rFonts w:ascii="Times New Roman" w:hAnsi="Times New Roman" w:cs="Times New Roman"/>
                <w:sz w:val="24"/>
                <w:szCs w:val="24"/>
              </w:rPr>
              <w:t>Чистая вода и санитария</w:t>
            </w:r>
          </w:p>
        </w:tc>
        <w:tc>
          <w:tcPr>
            <w:tcW w:w="7246" w:type="dxa"/>
          </w:tcPr>
          <w:p w:rsidR="0030059A" w:rsidRPr="00B644BF" w:rsidRDefault="0030059A" w:rsidP="00211EEF">
            <w:pPr>
              <w:spacing w:after="0" w:line="240" w:lineRule="auto"/>
              <w:jc w:val="both"/>
              <w:rPr>
                <w:rFonts w:ascii="Times New Roman" w:hAnsi="Times New Roman" w:cs="Times New Roman"/>
                <w:sz w:val="24"/>
                <w:szCs w:val="24"/>
              </w:rPr>
            </w:pPr>
            <w:r w:rsidRPr="00B644BF">
              <w:rPr>
                <w:rFonts w:ascii="Times New Roman" w:hAnsi="Times New Roman" w:cs="Times New Roman"/>
                <w:sz w:val="24"/>
                <w:szCs w:val="24"/>
              </w:rPr>
              <w:t>Формировать представления о том, что чистой воды на нашей планете очень мало, и поэтому ее нужно беречь и использовать экономно, чтобы всем людям и другим живым существам хватало воды для жизни и здоровья.</w:t>
            </w:r>
          </w:p>
        </w:tc>
      </w:tr>
      <w:tr w:rsidR="0030059A" w:rsidRPr="00B644BF" w:rsidTr="00211EEF">
        <w:trPr>
          <w:cantSplit/>
          <w:trHeight w:val="838"/>
        </w:trPr>
        <w:tc>
          <w:tcPr>
            <w:tcW w:w="2040" w:type="dxa"/>
          </w:tcPr>
          <w:p w:rsidR="0030059A" w:rsidRPr="00B644BF" w:rsidRDefault="0030059A" w:rsidP="00211EEF">
            <w:pPr>
              <w:spacing w:after="0" w:line="240" w:lineRule="auto"/>
              <w:jc w:val="center"/>
              <w:rPr>
                <w:rFonts w:ascii="Times New Roman" w:hAnsi="Times New Roman" w:cs="Times New Roman"/>
                <w:sz w:val="24"/>
                <w:szCs w:val="24"/>
              </w:rPr>
            </w:pPr>
            <w:r w:rsidRPr="00B644BF">
              <w:rPr>
                <w:rFonts w:ascii="Times New Roman" w:hAnsi="Times New Roman" w:cs="Times New Roman"/>
                <w:sz w:val="24"/>
                <w:szCs w:val="24"/>
              </w:rPr>
              <w:t>ЦУР 7. Недорогостоящая и чистая энергия</w:t>
            </w:r>
          </w:p>
        </w:tc>
        <w:tc>
          <w:tcPr>
            <w:tcW w:w="7246" w:type="dxa"/>
          </w:tcPr>
          <w:p w:rsidR="0030059A" w:rsidRPr="00B644BF" w:rsidRDefault="0030059A" w:rsidP="00211EEF">
            <w:pPr>
              <w:spacing w:after="0" w:line="240" w:lineRule="auto"/>
              <w:jc w:val="both"/>
              <w:rPr>
                <w:rFonts w:ascii="Times New Roman" w:hAnsi="Times New Roman" w:cs="Times New Roman"/>
                <w:sz w:val="24"/>
                <w:szCs w:val="24"/>
              </w:rPr>
            </w:pPr>
            <w:r w:rsidRPr="00B644BF">
              <w:rPr>
                <w:rFonts w:ascii="Times New Roman" w:hAnsi="Times New Roman" w:cs="Times New Roman"/>
                <w:sz w:val="24"/>
                <w:szCs w:val="24"/>
              </w:rPr>
              <w:t>Формировать представления о надежных, экологичных и современных источниках энергии для жизнедеятельности человека.</w:t>
            </w:r>
          </w:p>
        </w:tc>
      </w:tr>
      <w:tr w:rsidR="0030059A" w:rsidRPr="00B644BF" w:rsidTr="00211EEF">
        <w:trPr>
          <w:cantSplit/>
          <w:trHeight w:val="826"/>
        </w:trPr>
        <w:tc>
          <w:tcPr>
            <w:tcW w:w="2040" w:type="dxa"/>
          </w:tcPr>
          <w:p w:rsidR="0030059A" w:rsidRPr="00B644BF" w:rsidRDefault="0030059A" w:rsidP="00211EEF">
            <w:pPr>
              <w:spacing w:after="0" w:line="240" w:lineRule="auto"/>
              <w:jc w:val="center"/>
              <w:rPr>
                <w:rFonts w:ascii="Times New Roman" w:hAnsi="Times New Roman" w:cs="Times New Roman"/>
                <w:sz w:val="24"/>
                <w:szCs w:val="24"/>
              </w:rPr>
            </w:pPr>
            <w:r w:rsidRPr="00B644BF">
              <w:rPr>
                <w:rFonts w:ascii="Times New Roman" w:hAnsi="Times New Roman" w:cs="Times New Roman"/>
                <w:sz w:val="24"/>
                <w:szCs w:val="24"/>
              </w:rPr>
              <w:t>ЦУР 10. Уменьшение неравенства</w:t>
            </w:r>
          </w:p>
        </w:tc>
        <w:tc>
          <w:tcPr>
            <w:tcW w:w="7246" w:type="dxa"/>
          </w:tcPr>
          <w:p w:rsidR="0030059A" w:rsidRPr="00B644BF" w:rsidRDefault="0030059A" w:rsidP="00211EEF">
            <w:pPr>
              <w:spacing w:after="0" w:line="240" w:lineRule="auto"/>
              <w:jc w:val="both"/>
              <w:rPr>
                <w:rFonts w:ascii="Times New Roman" w:hAnsi="Times New Roman" w:cs="Times New Roman"/>
                <w:sz w:val="24"/>
                <w:szCs w:val="24"/>
              </w:rPr>
            </w:pPr>
            <w:r w:rsidRPr="00B644BF">
              <w:rPr>
                <w:rFonts w:ascii="Times New Roman" w:hAnsi="Times New Roman" w:cs="Times New Roman"/>
                <w:sz w:val="24"/>
                <w:szCs w:val="24"/>
              </w:rPr>
              <w:t>Формировать представления о некоторых других народах, живущих на Земле; о равных возможностях для всех.</w:t>
            </w:r>
          </w:p>
        </w:tc>
      </w:tr>
      <w:tr w:rsidR="0030059A" w:rsidRPr="00B644BF" w:rsidTr="00211EEF">
        <w:trPr>
          <w:cantSplit/>
          <w:trHeight w:val="1134"/>
        </w:trPr>
        <w:tc>
          <w:tcPr>
            <w:tcW w:w="2040" w:type="dxa"/>
          </w:tcPr>
          <w:p w:rsidR="0030059A" w:rsidRPr="00B644BF" w:rsidRDefault="0030059A" w:rsidP="00211EEF">
            <w:pPr>
              <w:spacing w:after="0" w:line="240" w:lineRule="auto"/>
              <w:jc w:val="center"/>
              <w:rPr>
                <w:rFonts w:ascii="Times New Roman" w:hAnsi="Times New Roman" w:cs="Times New Roman"/>
                <w:sz w:val="24"/>
                <w:szCs w:val="24"/>
              </w:rPr>
            </w:pPr>
            <w:r w:rsidRPr="00B644BF">
              <w:rPr>
                <w:rFonts w:ascii="Times New Roman" w:hAnsi="Times New Roman" w:cs="Times New Roman"/>
                <w:sz w:val="24"/>
                <w:szCs w:val="24"/>
              </w:rPr>
              <w:t>ЦУР 11. Устойчивые города и населенные пункты</w:t>
            </w:r>
          </w:p>
        </w:tc>
        <w:tc>
          <w:tcPr>
            <w:tcW w:w="7246" w:type="dxa"/>
          </w:tcPr>
          <w:p w:rsidR="0030059A" w:rsidRPr="00B644BF" w:rsidRDefault="0030059A" w:rsidP="00211EEF">
            <w:pPr>
              <w:spacing w:after="0" w:line="240" w:lineRule="auto"/>
              <w:jc w:val="both"/>
              <w:rPr>
                <w:rFonts w:ascii="Times New Roman" w:hAnsi="Times New Roman" w:cs="Times New Roman"/>
                <w:sz w:val="24"/>
                <w:szCs w:val="24"/>
              </w:rPr>
            </w:pPr>
            <w:r w:rsidRPr="00B644BF">
              <w:rPr>
                <w:rFonts w:ascii="Times New Roman" w:hAnsi="Times New Roman" w:cs="Times New Roman"/>
                <w:sz w:val="24"/>
                <w:szCs w:val="24"/>
              </w:rPr>
              <w:t>Формировать представления: о человечестве как семье на планете земля; о том, что от людей зависит жизнь планеты и каждого живущего на ней; о разумности, как качестве присущем людям, и гуманности человека; о важности осознанно действовать, предвидя последствия своих действий; о том, что деятельность человека является причиной всех возможных последствий в природе.</w:t>
            </w:r>
          </w:p>
        </w:tc>
      </w:tr>
      <w:tr w:rsidR="0030059A" w:rsidRPr="00B644BF" w:rsidTr="00211EEF">
        <w:trPr>
          <w:cantSplit/>
          <w:trHeight w:val="1134"/>
        </w:trPr>
        <w:tc>
          <w:tcPr>
            <w:tcW w:w="2040" w:type="dxa"/>
          </w:tcPr>
          <w:p w:rsidR="0030059A" w:rsidRPr="00B644BF" w:rsidRDefault="0030059A" w:rsidP="00211EEF">
            <w:pPr>
              <w:spacing w:after="0" w:line="240" w:lineRule="auto"/>
              <w:jc w:val="center"/>
              <w:rPr>
                <w:rFonts w:ascii="Times New Roman" w:hAnsi="Times New Roman" w:cs="Times New Roman"/>
                <w:sz w:val="24"/>
                <w:szCs w:val="24"/>
              </w:rPr>
            </w:pPr>
            <w:r w:rsidRPr="00B644BF">
              <w:rPr>
                <w:rFonts w:ascii="Times New Roman" w:hAnsi="Times New Roman" w:cs="Times New Roman"/>
                <w:sz w:val="24"/>
                <w:szCs w:val="24"/>
              </w:rPr>
              <w:t>ЦУР 12. Ответственное потребление и производство</w:t>
            </w:r>
          </w:p>
        </w:tc>
        <w:tc>
          <w:tcPr>
            <w:tcW w:w="7246" w:type="dxa"/>
          </w:tcPr>
          <w:p w:rsidR="0030059A" w:rsidRPr="00B644BF" w:rsidRDefault="0030059A" w:rsidP="00211EEF">
            <w:pPr>
              <w:spacing w:after="0" w:line="240" w:lineRule="auto"/>
              <w:jc w:val="both"/>
              <w:rPr>
                <w:rFonts w:ascii="Times New Roman" w:hAnsi="Times New Roman" w:cs="Times New Roman"/>
                <w:sz w:val="24"/>
                <w:szCs w:val="24"/>
              </w:rPr>
            </w:pPr>
            <w:r w:rsidRPr="00B644BF">
              <w:rPr>
                <w:rFonts w:ascii="Times New Roman" w:hAnsi="Times New Roman" w:cs="Times New Roman"/>
                <w:sz w:val="24"/>
                <w:szCs w:val="24"/>
              </w:rPr>
              <w:t>«Формировать представления о мусоре и его видах, о способах переработки и вторичного использования мусора; о влиянии мусора на окружающую природу и жизнь человека; сформировать представления о сортировке мусора; развивать практические умения и навыки сортировки мусора; формировать экологически правильную позицию по отношению к проблеме мусора» [2, с. 213].</w:t>
            </w:r>
          </w:p>
        </w:tc>
      </w:tr>
      <w:tr w:rsidR="0030059A" w:rsidRPr="00B644BF" w:rsidTr="00211EEF">
        <w:trPr>
          <w:cantSplit/>
          <w:trHeight w:val="1134"/>
        </w:trPr>
        <w:tc>
          <w:tcPr>
            <w:tcW w:w="2040" w:type="dxa"/>
          </w:tcPr>
          <w:p w:rsidR="0030059A" w:rsidRPr="00B644BF" w:rsidRDefault="0030059A" w:rsidP="00211EEF">
            <w:pPr>
              <w:spacing w:after="0" w:line="240" w:lineRule="auto"/>
              <w:jc w:val="center"/>
              <w:rPr>
                <w:rFonts w:ascii="Times New Roman" w:hAnsi="Times New Roman" w:cs="Times New Roman"/>
                <w:sz w:val="24"/>
                <w:szCs w:val="24"/>
              </w:rPr>
            </w:pPr>
            <w:r w:rsidRPr="00B644BF">
              <w:rPr>
                <w:rFonts w:ascii="Times New Roman" w:hAnsi="Times New Roman" w:cs="Times New Roman"/>
                <w:sz w:val="24"/>
                <w:szCs w:val="24"/>
              </w:rPr>
              <w:t xml:space="preserve">ЦУР 13. </w:t>
            </w:r>
          </w:p>
          <w:p w:rsidR="0030059A" w:rsidRPr="00B644BF" w:rsidRDefault="0030059A" w:rsidP="00211EEF">
            <w:pPr>
              <w:spacing w:after="0" w:line="240" w:lineRule="auto"/>
              <w:jc w:val="center"/>
              <w:rPr>
                <w:rFonts w:ascii="Times New Roman" w:hAnsi="Times New Roman" w:cs="Times New Roman"/>
                <w:sz w:val="24"/>
                <w:szCs w:val="24"/>
              </w:rPr>
            </w:pPr>
            <w:r w:rsidRPr="00B644BF">
              <w:rPr>
                <w:rFonts w:ascii="Times New Roman" w:hAnsi="Times New Roman" w:cs="Times New Roman"/>
                <w:sz w:val="24"/>
                <w:szCs w:val="24"/>
              </w:rPr>
              <w:t>Борьба с изменением климата</w:t>
            </w:r>
          </w:p>
        </w:tc>
        <w:tc>
          <w:tcPr>
            <w:tcW w:w="7246" w:type="dxa"/>
          </w:tcPr>
          <w:p w:rsidR="0030059A" w:rsidRPr="00B644BF" w:rsidRDefault="0030059A" w:rsidP="00211EEF">
            <w:pPr>
              <w:spacing w:after="0" w:line="240" w:lineRule="auto"/>
              <w:jc w:val="both"/>
              <w:rPr>
                <w:rFonts w:ascii="Times New Roman" w:hAnsi="Times New Roman" w:cs="Times New Roman"/>
                <w:sz w:val="24"/>
                <w:szCs w:val="24"/>
              </w:rPr>
            </w:pPr>
            <w:r w:rsidRPr="00B644BF">
              <w:rPr>
                <w:rFonts w:ascii="Times New Roman" w:hAnsi="Times New Roman" w:cs="Times New Roman"/>
                <w:sz w:val="24"/>
                <w:szCs w:val="24"/>
              </w:rPr>
              <w:t>Формировать представления о проблеме изменения климата на нашей планете (как это влияет на животных, растения и человека,</w:t>
            </w:r>
            <w:r w:rsidRPr="00B644BF">
              <w:rPr>
                <w:rFonts w:ascii="Times New Roman" w:hAnsi="Times New Roman" w:cs="Times New Roman"/>
                <w:sz w:val="24"/>
                <w:szCs w:val="24"/>
                <w:highlight w:val="yellow"/>
              </w:rPr>
              <w:t xml:space="preserve"> </w:t>
            </w:r>
            <w:r w:rsidRPr="00B644BF">
              <w:rPr>
                <w:rFonts w:ascii="Times New Roman" w:hAnsi="Times New Roman" w:cs="Times New Roman"/>
                <w:sz w:val="24"/>
                <w:szCs w:val="24"/>
              </w:rPr>
              <w:t>неживую природу; например, тают ледники, где живут белые медведи, многие растения не могут расти в привычных местах; засухи, наводнения и другие природные бедствия, которые делают жизнь на Земле сложнее для всех живых существ).</w:t>
            </w:r>
          </w:p>
        </w:tc>
      </w:tr>
      <w:tr w:rsidR="0030059A" w:rsidRPr="00B644BF" w:rsidTr="00211EEF">
        <w:trPr>
          <w:cantSplit/>
          <w:trHeight w:val="1134"/>
        </w:trPr>
        <w:tc>
          <w:tcPr>
            <w:tcW w:w="2040" w:type="dxa"/>
          </w:tcPr>
          <w:p w:rsidR="0030059A" w:rsidRPr="00B644BF" w:rsidRDefault="0030059A" w:rsidP="00211EEF">
            <w:pPr>
              <w:spacing w:after="0" w:line="240" w:lineRule="auto"/>
              <w:jc w:val="center"/>
              <w:rPr>
                <w:rFonts w:ascii="Times New Roman" w:hAnsi="Times New Roman" w:cs="Times New Roman"/>
                <w:sz w:val="24"/>
                <w:szCs w:val="24"/>
              </w:rPr>
            </w:pPr>
            <w:r w:rsidRPr="00B644BF">
              <w:rPr>
                <w:rFonts w:ascii="Times New Roman" w:hAnsi="Times New Roman" w:cs="Times New Roman"/>
                <w:sz w:val="24"/>
                <w:szCs w:val="24"/>
              </w:rPr>
              <w:t>ЦУР 14. Сохранение морских экосистем</w:t>
            </w:r>
          </w:p>
        </w:tc>
        <w:tc>
          <w:tcPr>
            <w:tcW w:w="7246" w:type="dxa"/>
            <w:vMerge w:val="restart"/>
          </w:tcPr>
          <w:p w:rsidR="0030059A" w:rsidRPr="00B644BF" w:rsidRDefault="0030059A" w:rsidP="00211EEF">
            <w:pPr>
              <w:spacing w:after="0" w:line="240" w:lineRule="auto"/>
              <w:jc w:val="both"/>
              <w:rPr>
                <w:rFonts w:ascii="Times New Roman" w:hAnsi="Times New Roman" w:cs="Times New Roman"/>
                <w:sz w:val="24"/>
                <w:szCs w:val="24"/>
              </w:rPr>
            </w:pPr>
            <w:r w:rsidRPr="00B644BF">
              <w:rPr>
                <w:rFonts w:ascii="Times New Roman" w:hAnsi="Times New Roman" w:cs="Times New Roman"/>
                <w:sz w:val="24"/>
                <w:szCs w:val="24"/>
              </w:rPr>
              <w:t xml:space="preserve">Формировать представления о самоценности экосистем и непреходящей ценности жизни, праве на жизнь любого живого существа; о важности сохранения целостности сложившихся связей в экосистемах, о том, что их нарушение влечет за собой негативные экологические последствия для всего живого на Земле. </w:t>
            </w:r>
          </w:p>
          <w:p w:rsidR="0030059A" w:rsidRPr="00B644BF" w:rsidRDefault="0030059A" w:rsidP="00211EEF">
            <w:pPr>
              <w:spacing w:after="0" w:line="240" w:lineRule="auto"/>
              <w:jc w:val="both"/>
              <w:rPr>
                <w:rFonts w:ascii="Times New Roman" w:hAnsi="Times New Roman" w:cs="Times New Roman"/>
                <w:sz w:val="24"/>
                <w:szCs w:val="24"/>
              </w:rPr>
            </w:pPr>
            <w:r w:rsidRPr="00B644BF">
              <w:rPr>
                <w:rFonts w:ascii="Times New Roman" w:hAnsi="Times New Roman" w:cs="Times New Roman"/>
                <w:sz w:val="24"/>
                <w:szCs w:val="24"/>
              </w:rPr>
              <w:t>Воспитание милосердия и эмпатии (сочувствие, сострадание, сопереживание живым организмам) ко всем живым существам.</w:t>
            </w:r>
          </w:p>
        </w:tc>
      </w:tr>
      <w:tr w:rsidR="0030059A" w:rsidRPr="00B644BF" w:rsidTr="00211EEF">
        <w:trPr>
          <w:cantSplit/>
          <w:trHeight w:val="778"/>
        </w:trPr>
        <w:tc>
          <w:tcPr>
            <w:tcW w:w="2040" w:type="dxa"/>
          </w:tcPr>
          <w:p w:rsidR="0030059A" w:rsidRPr="00B644BF" w:rsidRDefault="0030059A" w:rsidP="00211EEF">
            <w:pPr>
              <w:spacing w:after="0" w:line="240" w:lineRule="auto"/>
              <w:jc w:val="center"/>
              <w:rPr>
                <w:rFonts w:ascii="Times New Roman" w:hAnsi="Times New Roman" w:cs="Times New Roman"/>
                <w:sz w:val="24"/>
                <w:szCs w:val="24"/>
              </w:rPr>
            </w:pPr>
            <w:r w:rsidRPr="00B644BF">
              <w:rPr>
                <w:rFonts w:ascii="Times New Roman" w:hAnsi="Times New Roman" w:cs="Times New Roman"/>
                <w:sz w:val="24"/>
                <w:szCs w:val="24"/>
              </w:rPr>
              <w:t>ЦУР 15. Сохранение экосистем суши</w:t>
            </w:r>
          </w:p>
        </w:tc>
        <w:tc>
          <w:tcPr>
            <w:tcW w:w="7246" w:type="dxa"/>
            <w:vMerge/>
          </w:tcPr>
          <w:p w:rsidR="0030059A" w:rsidRPr="00B644BF" w:rsidRDefault="0030059A" w:rsidP="00211EEF">
            <w:pPr>
              <w:spacing w:after="0" w:line="240" w:lineRule="auto"/>
              <w:jc w:val="both"/>
              <w:rPr>
                <w:rFonts w:ascii="Times New Roman" w:hAnsi="Times New Roman" w:cs="Times New Roman"/>
                <w:sz w:val="24"/>
                <w:szCs w:val="24"/>
              </w:rPr>
            </w:pPr>
          </w:p>
        </w:tc>
      </w:tr>
      <w:tr w:rsidR="0030059A" w:rsidRPr="00B644BF" w:rsidTr="00211EEF">
        <w:trPr>
          <w:cantSplit/>
          <w:trHeight w:val="1134"/>
        </w:trPr>
        <w:tc>
          <w:tcPr>
            <w:tcW w:w="2040" w:type="dxa"/>
          </w:tcPr>
          <w:p w:rsidR="0030059A" w:rsidRPr="00B644BF" w:rsidRDefault="0030059A" w:rsidP="00211EEF">
            <w:pPr>
              <w:spacing w:after="0" w:line="240" w:lineRule="auto"/>
              <w:jc w:val="center"/>
              <w:rPr>
                <w:rFonts w:ascii="Times New Roman" w:hAnsi="Times New Roman" w:cs="Times New Roman"/>
                <w:sz w:val="24"/>
                <w:szCs w:val="24"/>
              </w:rPr>
            </w:pPr>
            <w:r w:rsidRPr="00B644BF">
              <w:rPr>
                <w:rFonts w:ascii="Times New Roman" w:hAnsi="Times New Roman" w:cs="Times New Roman"/>
                <w:sz w:val="24"/>
                <w:szCs w:val="24"/>
              </w:rPr>
              <w:t xml:space="preserve">ЦУР 16. </w:t>
            </w:r>
          </w:p>
          <w:p w:rsidR="0030059A" w:rsidRPr="00B644BF" w:rsidRDefault="0030059A" w:rsidP="00211EEF">
            <w:pPr>
              <w:spacing w:after="0" w:line="240" w:lineRule="auto"/>
              <w:jc w:val="center"/>
              <w:rPr>
                <w:rFonts w:ascii="Times New Roman" w:hAnsi="Times New Roman" w:cs="Times New Roman"/>
                <w:sz w:val="24"/>
                <w:szCs w:val="24"/>
              </w:rPr>
            </w:pPr>
            <w:r w:rsidRPr="00B644BF">
              <w:rPr>
                <w:rFonts w:ascii="Times New Roman" w:hAnsi="Times New Roman" w:cs="Times New Roman"/>
                <w:sz w:val="24"/>
                <w:szCs w:val="24"/>
              </w:rPr>
              <w:t>Мир, правосудие и эффективные институты</w:t>
            </w:r>
          </w:p>
        </w:tc>
        <w:tc>
          <w:tcPr>
            <w:tcW w:w="7246" w:type="dxa"/>
          </w:tcPr>
          <w:p w:rsidR="0030059A" w:rsidRPr="00B644BF" w:rsidRDefault="0030059A" w:rsidP="00211EEF">
            <w:pPr>
              <w:spacing w:after="0" w:line="240" w:lineRule="auto"/>
              <w:jc w:val="both"/>
              <w:rPr>
                <w:rFonts w:ascii="Times New Roman" w:hAnsi="Times New Roman" w:cs="Times New Roman"/>
                <w:sz w:val="24"/>
                <w:szCs w:val="24"/>
              </w:rPr>
            </w:pPr>
            <w:r w:rsidRPr="00B644BF">
              <w:rPr>
                <w:rFonts w:ascii="Times New Roman" w:hAnsi="Times New Roman" w:cs="Times New Roman"/>
                <w:sz w:val="24"/>
                <w:szCs w:val="24"/>
              </w:rPr>
              <w:t>Формировать умения и навыки мирного разрешения конфликтов.</w:t>
            </w:r>
          </w:p>
          <w:p w:rsidR="0030059A" w:rsidRPr="00B644BF" w:rsidRDefault="0030059A" w:rsidP="00211EEF">
            <w:pPr>
              <w:spacing w:after="0" w:line="240" w:lineRule="auto"/>
              <w:jc w:val="both"/>
              <w:rPr>
                <w:rFonts w:ascii="Times New Roman" w:hAnsi="Times New Roman" w:cs="Times New Roman"/>
                <w:sz w:val="24"/>
                <w:szCs w:val="24"/>
              </w:rPr>
            </w:pPr>
            <w:r w:rsidRPr="00B644BF">
              <w:rPr>
                <w:rFonts w:ascii="Times New Roman" w:hAnsi="Times New Roman" w:cs="Times New Roman"/>
                <w:sz w:val="24"/>
                <w:szCs w:val="24"/>
              </w:rPr>
              <w:t>Развивать чувство справедливости и взаимоуважения (говорить о важности честности; обсуждать, как уважение помогает дружбе).</w:t>
            </w:r>
          </w:p>
        </w:tc>
      </w:tr>
      <w:tr w:rsidR="0030059A" w:rsidRPr="00B644BF" w:rsidTr="00211EEF">
        <w:trPr>
          <w:cantSplit/>
          <w:trHeight w:val="1134"/>
        </w:trPr>
        <w:tc>
          <w:tcPr>
            <w:tcW w:w="2040" w:type="dxa"/>
          </w:tcPr>
          <w:p w:rsidR="0030059A" w:rsidRPr="00B644BF" w:rsidRDefault="0030059A" w:rsidP="00211EEF">
            <w:pPr>
              <w:spacing w:after="0" w:line="240" w:lineRule="auto"/>
              <w:jc w:val="center"/>
              <w:rPr>
                <w:rFonts w:ascii="Times New Roman" w:hAnsi="Times New Roman" w:cs="Times New Roman"/>
                <w:sz w:val="24"/>
                <w:szCs w:val="24"/>
              </w:rPr>
            </w:pPr>
            <w:r w:rsidRPr="00B644BF">
              <w:rPr>
                <w:rFonts w:ascii="Times New Roman" w:hAnsi="Times New Roman" w:cs="Times New Roman"/>
                <w:sz w:val="24"/>
                <w:szCs w:val="24"/>
              </w:rPr>
              <w:t>ЦУР 17. Партнерство в интересах устойчивого развития</w:t>
            </w:r>
          </w:p>
        </w:tc>
        <w:tc>
          <w:tcPr>
            <w:tcW w:w="7246" w:type="dxa"/>
          </w:tcPr>
          <w:p w:rsidR="0030059A" w:rsidRPr="00B644BF" w:rsidRDefault="0030059A" w:rsidP="00211EEF">
            <w:pPr>
              <w:spacing w:after="0" w:line="240" w:lineRule="auto"/>
              <w:jc w:val="both"/>
              <w:rPr>
                <w:rFonts w:ascii="Times New Roman" w:hAnsi="Times New Roman" w:cs="Times New Roman"/>
                <w:sz w:val="24"/>
                <w:szCs w:val="24"/>
              </w:rPr>
            </w:pPr>
            <w:r w:rsidRPr="00B644BF">
              <w:rPr>
                <w:rFonts w:ascii="Times New Roman" w:hAnsi="Times New Roman" w:cs="Times New Roman"/>
                <w:sz w:val="24"/>
                <w:szCs w:val="24"/>
              </w:rPr>
              <w:t xml:space="preserve">Формировать представления о важности вместе заботиться о нашей планете; о том, что даже самые маленькие дела становятся очень важными, чтобы сделать наш мир лучше. </w:t>
            </w:r>
          </w:p>
        </w:tc>
      </w:tr>
    </w:tbl>
    <w:p w:rsidR="0030059A" w:rsidRPr="00B644BF" w:rsidRDefault="0030059A" w:rsidP="0030059A">
      <w:pPr>
        <w:spacing w:after="0" w:line="240" w:lineRule="auto"/>
        <w:ind w:firstLine="567"/>
        <w:jc w:val="both"/>
        <w:rPr>
          <w:rFonts w:ascii="Times New Roman" w:eastAsia="Times New Roman" w:hAnsi="Times New Roman" w:cs="Times New Roman"/>
          <w:sz w:val="28"/>
          <w:szCs w:val="28"/>
        </w:rPr>
      </w:pPr>
    </w:p>
    <w:p w:rsidR="0030059A" w:rsidRPr="00B644BF" w:rsidRDefault="0030059A" w:rsidP="00F3513E">
      <w:pPr>
        <w:spacing w:after="0" w:line="240" w:lineRule="auto"/>
        <w:ind w:firstLine="709"/>
        <w:jc w:val="both"/>
        <w:rPr>
          <w:rFonts w:ascii="Times New Roman" w:hAnsi="Times New Roman" w:cs="Times New Roman"/>
          <w:sz w:val="28"/>
          <w:szCs w:val="28"/>
          <w:shd w:val="clear" w:color="auto" w:fill="FFFFFF"/>
        </w:rPr>
      </w:pPr>
      <w:r w:rsidRPr="00B644BF">
        <w:rPr>
          <w:rFonts w:ascii="Times New Roman" w:hAnsi="Times New Roman" w:cs="Times New Roman"/>
          <w:sz w:val="28"/>
          <w:szCs w:val="28"/>
          <w:shd w:val="clear" w:color="auto" w:fill="FFFFFF"/>
        </w:rPr>
        <w:t xml:space="preserve">В целом представленные в таблице 1 задачи демонстрируют, что содержание ЦУР может быть адаптировано к возрастным возможностям детей старшего дошкольного возраста и выстроено в доступной для детей форме. При этом содержание задач ориентировано, прежде всего, на </w:t>
      </w:r>
      <w:r w:rsidRPr="00B644BF">
        <w:rPr>
          <w:rFonts w:ascii="Times New Roman" w:hAnsi="Times New Roman" w:cs="Times New Roman"/>
          <w:sz w:val="28"/>
          <w:szCs w:val="28"/>
          <w:shd w:val="clear" w:color="auto" w:fill="FFFFFF"/>
        </w:rPr>
        <w:lastRenderedPageBreak/>
        <w:t>развитие у дошкольников базовых ценностных установок, таких как сострадание, бережное отношение к природе, уважение к другим людям, стремление к сотрудничеству, ответственное поведение и др. Такой подход позволяет заложить основы понимания идей устойчивого развития уже на дошкольной ступени образования и обеспечить постепенное включение детей в ценностно-смысловое освоение проблем современного мира.</w:t>
      </w:r>
    </w:p>
    <w:p w:rsidR="0030059A" w:rsidRPr="00B644BF" w:rsidRDefault="0030059A" w:rsidP="00F3513E">
      <w:pPr>
        <w:spacing w:after="0" w:line="240" w:lineRule="auto"/>
        <w:ind w:firstLine="709"/>
        <w:jc w:val="both"/>
        <w:rPr>
          <w:rFonts w:ascii="Times New Roman" w:hAnsi="Times New Roman" w:cs="Times New Roman"/>
          <w:sz w:val="28"/>
          <w:szCs w:val="28"/>
          <w:shd w:val="clear" w:color="auto" w:fill="FFFFFF"/>
        </w:rPr>
      </w:pPr>
    </w:p>
    <w:p w:rsidR="0030059A" w:rsidRPr="00B644BF" w:rsidRDefault="0030059A" w:rsidP="0030059A">
      <w:pPr>
        <w:spacing w:after="0" w:line="240" w:lineRule="auto"/>
        <w:jc w:val="center"/>
        <w:rPr>
          <w:rFonts w:ascii="Times New Roman" w:hAnsi="Times New Roman" w:cs="Times New Roman"/>
          <w:b/>
          <w:sz w:val="28"/>
          <w:szCs w:val="28"/>
        </w:rPr>
      </w:pPr>
      <w:r w:rsidRPr="00B644BF">
        <w:rPr>
          <w:rFonts w:ascii="Times New Roman" w:hAnsi="Times New Roman" w:cs="Times New Roman"/>
          <w:b/>
          <w:sz w:val="28"/>
          <w:szCs w:val="28"/>
        </w:rPr>
        <w:t>Список литературы</w:t>
      </w:r>
    </w:p>
    <w:p w:rsidR="0030059A" w:rsidRPr="00F3513E" w:rsidRDefault="0030059A" w:rsidP="0030059A">
      <w:pPr>
        <w:pStyle w:val="af1"/>
        <w:numPr>
          <w:ilvl w:val="0"/>
          <w:numId w:val="15"/>
        </w:numPr>
        <w:ind w:firstLine="567"/>
        <w:contextualSpacing/>
        <w:jc w:val="both"/>
        <w:rPr>
          <w:rFonts w:cs="Times New Roman"/>
          <w:sz w:val="24"/>
          <w:szCs w:val="24"/>
          <w:lang w:eastAsia="ru-RU"/>
        </w:rPr>
      </w:pPr>
      <w:r w:rsidRPr="00F3513E">
        <w:rPr>
          <w:rFonts w:eastAsia="Times New Roman" w:cs="Times New Roman"/>
          <w:sz w:val="24"/>
          <w:szCs w:val="24"/>
          <w:lang w:eastAsia="ru-RU"/>
        </w:rPr>
        <w:t>ПОСТАНОВЛЕНИЕ МИНИСТЕРСТВА ОБРАЗОВАНИЯ РЕСПУБЛИКИ БЕЛАРУСЬ от 4 августа 2022 г. № 229 «Об утверждении учебной программы дошкольного образования».</w:t>
      </w:r>
      <w:r w:rsidRPr="00F3513E">
        <w:rPr>
          <w:rFonts w:cs="Times New Roman"/>
          <w:sz w:val="24"/>
          <w:szCs w:val="24"/>
        </w:rPr>
        <w:t xml:space="preserve"> – URL:</w:t>
      </w:r>
      <w:r w:rsidRPr="00F3513E">
        <w:rPr>
          <w:rFonts w:eastAsia="Times New Roman" w:cs="Times New Roman"/>
          <w:sz w:val="24"/>
          <w:szCs w:val="24"/>
          <w:lang w:eastAsia="ru-RU"/>
        </w:rPr>
        <w:t xml:space="preserve"> </w:t>
      </w:r>
      <w:hyperlink r:id="rId21" w:history="1">
        <w:r w:rsidRPr="00F3513E">
          <w:rPr>
            <w:rStyle w:val="a5"/>
            <w:rFonts w:cs="Times New Roman"/>
            <w:color w:val="auto"/>
            <w:sz w:val="24"/>
            <w:szCs w:val="24"/>
          </w:rPr>
          <w:t>up-doshk-obrazov-rus-bel.pdf</w:t>
        </w:r>
      </w:hyperlink>
      <w:r w:rsidRPr="00F3513E">
        <w:rPr>
          <w:rFonts w:cs="Times New Roman"/>
          <w:sz w:val="24"/>
          <w:szCs w:val="24"/>
        </w:rPr>
        <w:t xml:space="preserve"> (дата обращения: 07.05.2026). </w:t>
      </w:r>
    </w:p>
    <w:p w:rsidR="0030059A" w:rsidRPr="00F3513E" w:rsidRDefault="0030059A" w:rsidP="0030059A">
      <w:pPr>
        <w:pStyle w:val="af1"/>
        <w:numPr>
          <w:ilvl w:val="0"/>
          <w:numId w:val="15"/>
        </w:numPr>
        <w:ind w:firstLine="567"/>
        <w:contextualSpacing/>
        <w:jc w:val="both"/>
        <w:rPr>
          <w:rFonts w:cs="Times New Roman"/>
          <w:sz w:val="24"/>
          <w:szCs w:val="24"/>
          <w:lang w:eastAsia="ru-RU"/>
        </w:rPr>
      </w:pPr>
      <w:r w:rsidRPr="00F3513E">
        <w:rPr>
          <w:rFonts w:eastAsia="Helvetica" w:cs="Times New Roman"/>
          <w:sz w:val="24"/>
          <w:szCs w:val="24"/>
          <w:shd w:val="clear" w:color="auto" w:fill="FFFFFF"/>
        </w:rPr>
        <w:t>Можарова, Т. А. Проблема формирования культуры сортировки бытовых отходов в контексте непрерывного экологического образования / Т. А. Можарова // Непрерывное дополнительное образование в государствах - участниках СНГ: опыт, приоритеты и перспективы развития : сб. ст. IV Междунар. науч.-практ. конф., посвященной 20-летию ИПКиП, г. Могилев, 26–27 ноября 2020 г. / под ред. В. А. Гайсенка, И. В. Шардыко. – Могилев : МГУ имени А. А. Кулешова, 2021. – С. 209–213.</w:t>
      </w:r>
    </w:p>
    <w:p w:rsidR="00F3513E" w:rsidRDefault="00F3513E" w:rsidP="0030059A">
      <w:pPr>
        <w:spacing w:after="0" w:line="240" w:lineRule="auto"/>
        <w:jc w:val="center"/>
        <w:rPr>
          <w:rFonts w:ascii="Times New Roman" w:hAnsi="Times New Roman" w:cs="Times New Roman"/>
          <w:b/>
          <w:sz w:val="28"/>
          <w:szCs w:val="28"/>
        </w:rPr>
      </w:pPr>
    </w:p>
    <w:p w:rsidR="0030059A" w:rsidRPr="00B644BF" w:rsidRDefault="0030059A" w:rsidP="00F3513E">
      <w:pPr>
        <w:spacing w:after="0" w:line="240" w:lineRule="auto"/>
        <w:ind w:firstLine="709"/>
        <w:jc w:val="center"/>
        <w:rPr>
          <w:rFonts w:ascii="Times New Roman" w:hAnsi="Times New Roman" w:cs="Times New Roman"/>
          <w:b/>
          <w:sz w:val="28"/>
          <w:szCs w:val="28"/>
        </w:rPr>
      </w:pPr>
      <w:r w:rsidRPr="00B644BF">
        <w:rPr>
          <w:rFonts w:ascii="Times New Roman" w:hAnsi="Times New Roman" w:cs="Times New Roman"/>
          <w:b/>
          <w:sz w:val="28"/>
          <w:szCs w:val="28"/>
        </w:rPr>
        <w:t>ИСТОЧНИКИ СБЫТОВЫХ РИСКОВ ПРЕДПРИЯТИЯ</w:t>
      </w:r>
    </w:p>
    <w:p w:rsidR="0030059A" w:rsidRPr="00B644BF" w:rsidRDefault="0030059A" w:rsidP="00F3513E">
      <w:pPr>
        <w:spacing w:after="0" w:line="240" w:lineRule="auto"/>
        <w:ind w:firstLine="709"/>
        <w:jc w:val="center"/>
        <w:rPr>
          <w:rFonts w:ascii="Times New Roman" w:hAnsi="Times New Roman" w:cs="Times New Roman"/>
          <w:b/>
          <w:sz w:val="28"/>
          <w:szCs w:val="28"/>
        </w:rPr>
      </w:pPr>
    </w:p>
    <w:p w:rsidR="0030059A" w:rsidRPr="00B644BF" w:rsidRDefault="0030059A" w:rsidP="00F3513E">
      <w:pPr>
        <w:spacing w:after="0" w:line="240" w:lineRule="auto"/>
        <w:ind w:firstLine="709"/>
        <w:jc w:val="center"/>
        <w:rPr>
          <w:rFonts w:ascii="Times New Roman" w:hAnsi="Times New Roman" w:cs="Times New Roman"/>
          <w:b/>
          <w:sz w:val="28"/>
          <w:szCs w:val="28"/>
        </w:rPr>
      </w:pPr>
      <w:r w:rsidRPr="00B644BF">
        <w:rPr>
          <w:rFonts w:ascii="Times New Roman" w:hAnsi="Times New Roman" w:cs="Times New Roman"/>
          <w:b/>
          <w:sz w:val="28"/>
          <w:szCs w:val="28"/>
        </w:rPr>
        <w:t xml:space="preserve">Осипенко Наталья Александровна </w:t>
      </w:r>
    </w:p>
    <w:p w:rsidR="0030059A" w:rsidRPr="00B644BF" w:rsidRDefault="0030059A" w:rsidP="00F3513E">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заведующий кафедрой экономики и управления</w:t>
      </w:r>
    </w:p>
    <w:p w:rsidR="0030059A" w:rsidRPr="00B644BF" w:rsidRDefault="0030059A" w:rsidP="00F3513E">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 xml:space="preserve">учреждения образования «Могилевский государственный университет имени А.А. Кулешова»; кандидат экономических наук </w:t>
      </w:r>
    </w:p>
    <w:p w:rsidR="0030059A" w:rsidRPr="00B644BF" w:rsidRDefault="0030059A" w:rsidP="00F3513E">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 xml:space="preserve">(г. Могилев, Беларусь) </w:t>
      </w:r>
    </w:p>
    <w:p w:rsidR="0030059A" w:rsidRPr="00B644BF" w:rsidRDefault="0030059A" w:rsidP="00F3513E">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lang w:val="en-US"/>
        </w:rPr>
        <w:t>osipenko</w:t>
      </w:r>
      <w:r w:rsidRPr="00B644BF">
        <w:rPr>
          <w:rFonts w:ascii="Times New Roman" w:hAnsi="Times New Roman" w:cs="Times New Roman"/>
          <w:sz w:val="28"/>
          <w:szCs w:val="28"/>
        </w:rPr>
        <w:t>_</w:t>
      </w:r>
      <w:r w:rsidRPr="00B644BF">
        <w:rPr>
          <w:rFonts w:ascii="Times New Roman" w:hAnsi="Times New Roman" w:cs="Times New Roman"/>
          <w:sz w:val="28"/>
          <w:szCs w:val="28"/>
          <w:lang w:val="en-US"/>
        </w:rPr>
        <w:t>na</w:t>
      </w:r>
      <w:r w:rsidRPr="00B644BF">
        <w:rPr>
          <w:rFonts w:ascii="Times New Roman" w:hAnsi="Times New Roman" w:cs="Times New Roman"/>
          <w:sz w:val="28"/>
          <w:szCs w:val="28"/>
        </w:rPr>
        <w:t>@</w:t>
      </w:r>
      <w:r w:rsidRPr="00B644BF">
        <w:rPr>
          <w:rFonts w:ascii="Times New Roman" w:hAnsi="Times New Roman" w:cs="Times New Roman"/>
          <w:sz w:val="28"/>
          <w:szCs w:val="28"/>
          <w:lang w:val="en-US"/>
        </w:rPr>
        <w:t>m</w:t>
      </w:r>
      <w:r w:rsidRPr="00B644BF">
        <w:rPr>
          <w:rFonts w:ascii="Times New Roman" w:hAnsi="Times New Roman" w:cs="Times New Roman"/>
          <w:sz w:val="28"/>
          <w:szCs w:val="28"/>
        </w:rPr>
        <w:t>.</w:t>
      </w:r>
      <w:r w:rsidRPr="00B644BF">
        <w:rPr>
          <w:rFonts w:ascii="Times New Roman" w:hAnsi="Times New Roman" w:cs="Times New Roman"/>
          <w:sz w:val="28"/>
          <w:szCs w:val="28"/>
          <w:lang w:val="en-US"/>
        </w:rPr>
        <w:t>msu</w:t>
      </w:r>
      <w:r w:rsidRPr="00B644BF">
        <w:rPr>
          <w:rFonts w:ascii="Times New Roman" w:hAnsi="Times New Roman" w:cs="Times New Roman"/>
          <w:sz w:val="28"/>
          <w:szCs w:val="28"/>
        </w:rPr>
        <w:t>.</w:t>
      </w:r>
      <w:r w:rsidRPr="00B644BF">
        <w:rPr>
          <w:rFonts w:ascii="Times New Roman" w:hAnsi="Times New Roman" w:cs="Times New Roman"/>
          <w:sz w:val="28"/>
          <w:szCs w:val="28"/>
          <w:lang w:val="en-US"/>
        </w:rPr>
        <w:t>by</w:t>
      </w:r>
      <w:r w:rsidRPr="00B644BF">
        <w:rPr>
          <w:rFonts w:ascii="Times New Roman" w:hAnsi="Times New Roman" w:cs="Times New Roman"/>
          <w:sz w:val="28"/>
          <w:szCs w:val="28"/>
        </w:rPr>
        <w:t xml:space="preserve"> </w:t>
      </w:r>
    </w:p>
    <w:p w:rsidR="0030059A" w:rsidRPr="00B644BF" w:rsidRDefault="0030059A" w:rsidP="00F3513E">
      <w:pPr>
        <w:spacing w:after="0" w:line="240" w:lineRule="auto"/>
        <w:ind w:firstLine="709"/>
        <w:jc w:val="center"/>
        <w:rPr>
          <w:rFonts w:ascii="Times New Roman" w:hAnsi="Times New Roman" w:cs="Times New Roman"/>
          <w:sz w:val="28"/>
          <w:szCs w:val="28"/>
        </w:rPr>
      </w:pPr>
    </w:p>
    <w:p w:rsidR="0030059A" w:rsidRPr="00B644BF" w:rsidRDefault="0030059A" w:rsidP="00F3513E">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В процессе хозяйственной деятельности любой субъект сталкивается с ситуациями различного характера: политические и экономические условия, конкуренция на рынке, изменения в рыночном спросе, изменение доходности бизнеса и другие. Сложившаяся ситуация оказывает влияние на состояние предприятий и результаты их деятельности. </w:t>
      </w:r>
    </w:p>
    <w:p w:rsidR="0030059A" w:rsidRPr="00B644BF" w:rsidRDefault="0030059A" w:rsidP="00F3513E">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Под ситуацией в толковых словарях понимается совокупность условий и обстоятельств, создающих те или иные отношения, обстановку, положение. Как видно, формирование определенной ситуации происходит при сочетании и проявлении условий, количество которых может различным. Чем больше таких условий, причем различной природы возникновения, тем сложнее становится ситуация. Следует отметить, что условия могут по-разному проявляться: положительно или негативно. </w:t>
      </w:r>
    </w:p>
    <w:p w:rsidR="0030059A" w:rsidRPr="00B644BF" w:rsidRDefault="0030059A" w:rsidP="00F3513E">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Негативное проявление условий в свою очередь может приводить к потерям денег, времени, имущества. Таким образом, появляются риски. Если предприятие уже находится в негативных условиях, и они отрицательно влияют на его деятельность, то оно непосредственно </w:t>
      </w:r>
      <w:r w:rsidRPr="00B644BF">
        <w:rPr>
          <w:rFonts w:ascii="Times New Roman" w:hAnsi="Times New Roman" w:cs="Times New Roman"/>
          <w:sz w:val="28"/>
          <w:szCs w:val="28"/>
        </w:rPr>
        <w:lastRenderedPageBreak/>
        <w:t xml:space="preserve">сталкивается с рисками. При планировании предприятие имеет возможность идентифицировать и оценить возможное не только появление рисков, но и их влияние. В любом случае важным является понимание природы возникновения риска, а значит его источника. Это позволит правильно и обоснованно принимать управленческие решения, направленные на предотвращение или минимизацию риска. </w:t>
      </w:r>
    </w:p>
    <w:p w:rsidR="0030059A" w:rsidRPr="00B644BF" w:rsidRDefault="0030059A" w:rsidP="00F3513E">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Источник риска выступает причиной возникновения негативных событий и последующих потерь. Причины возникновения рисков могут внешними и внутренними. Также могут использоваться и другие критерии классификации рисков, что определяется задачами анализа для цели их выявления. Важным является идентификация рисков по функциональным видам деятельности предприятия: производственная, финансовая, кадровая, маркетинговая и другие. </w:t>
      </w:r>
    </w:p>
    <w:p w:rsidR="0030059A" w:rsidRPr="00B644BF" w:rsidRDefault="0030059A" w:rsidP="00F3513E">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Особое и первоочередное внимание следует уделять рискам, возникающих в сбытовой деятельности предприятия. </w:t>
      </w:r>
    </w:p>
    <w:p w:rsidR="0030059A" w:rsidRPr="00B644BF" w:rsidRDefault="0030059A" w:rsidP="00F3513E">
      <w:pPr>
        <w:spacing w:after="0" w:line="240" w:lineRule="auto"/>
        <w:ind w:firstLine="709"/>
        <w:jc w:val="both"/>
        <w:rPr>
          <w:rFonts w:ascii="Times New Roman" w:eastAsia="Times New Roman" w:hAnsi="Times New Roman" w:cs="Times New Roman"/>
          <w:sz w:val="28"/>
          <w:szCs w:val="28"/>
        </w:rPr>
      </w:pPr>
      <w:r w:rsidRPr="00B644BF">
        <w:rPr>
          <w:rFonts w:ascii="Times New Roman" w:hAnsi="Times New Roman" w:cs="Times New Roman"/>
          <w:sz w:val="28"/>
          <w:szCs w:val="28"/>
        </w:rPr>
        <w:t xml:space="preserve">Сбытовая деятельность формирует результат в процессе </w:t>
      </w:r>
      <w:r w:rsidRPr="00B644BF">
        <w:rPr>
          <w:rFonts w:ascii="Times New Roman" w:eastAsia="Times New Roman" w:hAnsi="Times New Roman" w:cs="Times New Roman"/>
          <w:sz w:val="28"/>
          <w:szCs w:val="28"/>
        </w:rPr>
        <w:t>доставки нужной продукции потребителю в точно</w:t>
      </w:r>
      <w:r w:rsidRPr="00B644BF">
        <w:rPr>
          <w:rFonts w:ascii="Times New Roman" w:hAnsi="Times New Roman" w:cs="Times New Roman"/>
          <w:sz w:val="28"/>
          <w:szCs w:val="28"/>
        </w:rPr>
        <w:t xml:space="preserve"> </w:t>
      </w:r>
      <w:r w:rsidRPr="00B644BF">
        <w:rPr>
          <w:rFonts w:ascii="Times New Roman" w:eastAsia="Times New Roman" w:hAnsi="Times New Roman" w:cs="Times New Roman"/>
          <w:sz w:val="28"/>
          <w:szCs w:val="28"/>
        </w:rPr>
        <w:t>определенное время и с установленным уровнем обслуживания, при достижении определенных</w:t>
      </w:r>
      <w:r w:rsidRPr="00B644BF">
        <w:rPr>
          <w:rFonts w:ascii="Times New Roman" w:hAnsi="Times New Roman" w:cs="Times New Roman"/>
          <w:sz w:val="28"/>
          <w:szCs w:val="28"/>
        </w:rPr>
        <w:t xml:space="preserve"> </w:t>
      </w:r>
      <w:r w:rsidRPr="00B644BF">
        <w:rPr>
          <w:rFonts w:ascii="Times New Roman" w:eastAsia="Times New Roman" w:hAnsi="Times New Roman" w:cs="Times New Roman"/>
          <w:sz w:val="28"/>
          <w:szCs w:val="28"/>
        </w:rPr>
        <w:t xml:space="preserve">целей предприятием, которое ориентируется на долгосрочное функционирование на рынке. Результат данного вида деятельности определяет конечный финансовый результат предприятия. Исходя из этого, эффективность сбытовой деятельность напрямую влияет на эффективность и конкурентоспособность самого предприятия. В этой связи очень важным является своевременное выявление и предотвращение рисков в этой области. </w:t>
      </w:r>
    </w:p>
    <w:p w:rsidR="0030059A" w:rsidRPr="00B644BF" w:rsidRDefault="0030059A" w:rsidP="00F3513E">
      <w:pPr>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rPr>
        <w:t>К наиболее значимым источникам рисков в сбытовой деятельности следует относить:</w:t>
      </w:r>
    </w:p>
    <w:p w:rsidR="0030059A" w:rsidRPr="00B644BF" w:rsidRDefault="0030059A" w:rsidP="00F3513E">
      <w:pPr>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rPr>
        <w:t>а) низкую эффективность маркетинговой деятельности</w:t>
      </w:r>
    </w:p>
    <w:p w:rsidR="0030059A" w:rsidRPr="00B644BF" w:rsidRDefault="0030059A" w:rsidP="00F3513E">
      <w:pPr>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rPr>
        <w:t>Сбытовая деятельность является частью маркетинговой деятельности предприятия, которая включает еще маркетинговые исследования для проведения последующего анализа, позиционирование на рынке, товарную политику, коммуникационную политику, стратегическое ценообразование. Все эти виды деятельности связаны между собой и формируют определенный уровень эффективности маркетинга предприятия.  Высокий уровень эффективности маркетинга может быть достигнут только при высокой эффективности указанных видов деятельности. В этой связи проблемы и недостатки в процессах маркетинговой деятельности непосредственно формируют риски сбыта продукции, так как сбыт замыкает цепочку и как указывалось выше формирует конечный финансовый результат предприятия. Причин таких проблем может быть множество. Наиболее распространенными в процессах маркетинговой деятельности, кроме сбытовой, являются следующие причины:</w:t>
      </w:r>
    </w:p>
    <w:p w:rsidR="0030059A" w:rsidRPr="00B644BF" w:rsidRDefault="0030059A" w:rsidP="00F3513E">
      <w:pPr>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rPr>
        <w:lastRenderedPageBreak/>
        <w:t>- отсутствие или некачественно проведенные маркетинговые исследования;</w:t>
      </w:r>
    </w:p>
    <w:p w:rsidR="0030059A" w:rsidRPr="00B644BF" w:rsidRDefault="0030059A" w:rsidP="00F3513E">
      <w:pPr>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rPr>
        <w:t>- минимальные инвестиции в проведение маркетинговых исследований;</w:t>
      </w:r>
    </w:p>
    <w:p w:rsidR="0030059A" w:rsidRPr="00B644BF" w:rsidRDefault="0030059A" w:rsidP="00F3513E">
      <w:pPr>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rPr>
        <w:t>- отсутствие системного маркетингового планирования и стратегии маркетинга;</w:t>
      </w:r>
    </w:p>
    <w:p w:rsidR="0030059A" w:rsidRPr="00B644BF" w:rsidRDefault="0030059A" w:rsidP="00F3513E">
      <w:pPr>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rPr>
        <w:t>- ошибки в маркетинговом планировании (неправильно и необоснованно выбранная стратегия маркетинга, ошибки в выборе целевых рынков, некачественно сформулированные цели маркетинга и другие);</w:t>
      </w:r>
    </w:p>
    <w:p w:rsidR="0030059A" w:rsidRPr="00B644BF" w:rsidRDefault="0030059A" w:rsidP="00F3513E">
      <w:pPr>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rPr>
        <w:t>- низкая эффективность маркетинговых коммуникаций, в том числе за счет минимальных вложений;</w:t>
      </w:r>
    </w:p>
    <w:p w:rsidR="0030059A" w:rsidRPr="00B644BF" w:rsidRDefault="0030059A" w:rsidP="00F3513E">
      <w:pPr>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rPr>
        <w:t xml:space="preserve">- низкая эффективность управления товарным ассортиментом. </w:t>
      </w:r>
    </w:p>
    <w:p w:rsidR="0030059A" w:rsidRPr="00B644BF" w:rsidRDefault="0030059A" w:rsidP="00F3513E">
      <w:pPr>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rPr>
        <w:t xml:space="preserve">Причинами возникновения рисков непосредственно в сбытовой деятельности являются: </w:t>
      </w:r>
    </w:p>
    <w:p w:rsidR="0030059A" w:rsidRPr="00B644BF" w:rsidRDefault="0030059A" w:rsidP="00F3513E">
      <w:pPr>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rPr>
        <w:t>- сбои в поставках в связи с влиянием сезонности и неурожайности (для сельскохозяйственных предприятий);</w:t>
      </w:r>
    </w:p>
    <w:p w:rsidR="0030059A" w:rsidRPr="00B644BF" w:rsidRDefault="0030059A" w:rsidP="00F3513E">
      <w:pPr>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rPr>
        <w:t xml:space="preserve">- высокие затраты на сбыт, в том числе за счет влияния ценовых факторов, валютного курса; </w:t>
      </w:r>
    </w:p>
    <w:p w:rsidR="0030059A" w:rsidRPr="00B644BF" w:rsidRDefault="0030059A" w:rsidP="00F3513E">
      <w:pPr>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rPr>
        <w:t>- состояние логистических маршрутов (наличие и состояние логистических узлов, состояние дорог, пропускная способность таможни);</w:t>
      </w:r>
    </w:p>
    <w:p w:rsidR="0030059A" w:rsidRPr="00B644BF" w:rsidRDefault="0030059A" w:rsidP="00F3513E">
      <w:pPr>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rPr>
        <w:t xml:space="preserve">- зависимость от посредников, в том числе от перевозчиков при прямых продажах. </w:t>
      </w:r>
    </w:p>
    <w:p w:rsidR="0030059A" w:rsidRPr="00B644BF" w:rsidRDefault="0030059A" w:rsidP="00F3513E">
      <w:pPr>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rPr>
        <w:t xml:space="preserve">б) финансовые трудности </w:t>
      </w:r>
    </w:p>
    <w:p w:rsidR="0030059A" w:rsidRPr="00B644BF" w:rsidRDefault="0030059A" w:rsidP="00F3513E">
      <w:pPr>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rPr>
        <w:t xml:space="preserve">Маркетинговая деятельность, в том числе сбыт, требует вложений денежных средств. Поэтому недостаток финансовых ресурсов или их отсутствие, неэффективное использование денежных средств способны выступать барьерами в достижении маркетинговых целей и показателей эффективности. </w:t>
      </w:r>
    </w:p>
    <w:p w:rsidR="0030059A" w:rsidRPr="00B644BF" w:rsidRDefault="0030059A" w:rsidP="00F3513E">
      <w:pPr>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rPr>
        <w:t>в) барьеры реализации продукции</w:t>
      </w:r>
    </w:p>
    <w:p w:rsidR="0030059A" w:rsidRPr="00B644BF" w:rsidRDefault="0030059A" w:rsidP="00F3513E">
      <w:pPr>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rPr>
        <w:t xml:space="preserve">Могут быть внешними и внутренними. Внешние причины трудностей реализации продукции включают требования законодательства в области сертификации продукции, которые сложно преодолеть, или состояние предприятия не позволяет этого достичь, или иные административные барьеры (лицензирование, тарифное регулирование и другие); санкции, ограничивающие продажи продукции или вообще препятствующие им. Внутренние барьеры реализации продукции сводятся к отсутствию компетенций, которые необходимы для решения производственных, маркетинговых задач, обеспечивающих достижение высокого уровня эффективности и конкурентоспособности. Такими внутренними барьерами могут выступать: неспособность предприятия производить качественную продукцию, соответствующую запросам потребителей; неспособность предприятия разрабатывать, внедрять и </w:t>
      </w:r>
      <w:r w:rsidRPr="00B644BF">
        <w:rPr>
          <w:rFonts w:ascii="Times New Roman" w:eastAsia="Times New Roman" w:hAnsi="Times New Roman" w:cs="Times New Roman"/>
          <w:sz w:val="28"/>
          <w:szCs w:val="28"/>
        </w:rPr>
        <w:lastRenderedPageBreak/>
        <w:t xml:space="preserve">использовать инновации; неспособность предприятия конкурентные преимущества; низкая степень адаптации деятельности предприятия к изменениям внешней среды. </w:t>
      </w:r>
    </w:p>
    <w:p w:rsidR="0030059A" w:rsidRPr="00B644BF" w:rsidRDefault="0030059A" w:rsidP="00F3513E">
      <w:pPr>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rPr>
        <w:t xml:space="preserve">г) высокая зависимость от покупателей и их сильное влияние </w:t>
      </w:r>
    </w:p>
    <w:p w:rsidR="0030059A" w:rsidRPr="00B644BF" w:rsidRDefault="0030059A" w:rsidP="00F3513E">
      <w:pPr>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rPr>
        <w:t xml:space="preserve">Высокая зависимость от покупателей возникает в случаях, когда значительная часть продукции реализуется небольшому количеству или преимущественно одному покупателю. Такая зависимость проявляется в том, что покупатель получает возможность диктовать условия продажи товаров (цены, сроки доставки и другое). Также риск высокой зависимости может проявиться, когда по определенным причинам ухудшается состояние покупателя (снижается рыночный спрос на продукцию покупателя, рост финансовой зависимости от заемного капитала, замедление оборачиваемости активов за счет задержек оплаты за продукцию), и это будет отрицательно сказываться на объемах продаж этому покупателю. Для снижения такого риска используют стратегию диверсификации деятельности, направленной на установление взаимоотношений с различными покупателями вместо доминирующего одного. </w:t>
      </w:r>
    </w:p>
    <w:p w:rsidR="0030059A" w:rsidRPr="00B644BF" w:rsidRDefault="0030059A" w:rsidP="00F3513E">
      <w:pPr>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rPr>
        <w:t xml:space="preserve">д) большое влияние ценообразующих факторов </w:t>
      </w:r>
    </w:p>
    <w:p w:rsidR="0030059A" w:rsidRPr="00B644BF" w:rsidRDefault="0030059A" w:rsidP="00F3513E">
      <w:pPr>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rPr>
        <w:t xml:space="preserve">Ценообразующих факторов, способных оказывать влияние на эффективность продаж, может быть много. Наиболее существенным, как правило, является уровень затрат на производство и реализацию продукции, который в первую очередь зависит от цен (тарифов) на используемые ресурсы и количества использованных ресурсов. Рост цен и тарифов на ресурсы подталкивает цену производимых предприятием товаров вверх. На такой рост спрос реагирует чаще всего снижением потребления, а значит, у предприятия могут снижаться объемы продаж. </w:t>
      </w:r>
    </w:p>
    <w:p w:rsidR="0030059A" w:rsidRPr="00B644BF" w:rsidRDefault="0030059A" w:rsidP="00F3513E">
      <w:pPr>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rPr>
        <w:t>е) изменения конкурентной ситуации на рынке</w:t>
      </w:r>
    </w:p>
    <w:p w:rsidR="0030059A" w:rsidRPr="00B644BF" w:rsidRDefault="0030059A" w:rsidP="00F3513E">
      <w:pPr>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rPr>
        <w:t xml:space="preserve">Появление на рынке новых конкурентов, уход с рынка действующих игроков, слияния и поглощения, появление товаров-заменителей способны приводить к изменению типа конкуренции на рынке: от совершенной конкуренции до монополии. Также при изменении конкурентной ситуации необходимо учитывать состояние предприятия и его возможности эффективно вести конкурентную борьбу. Если предприятие относится к категории слабого конкурента (является аутсайдером на рынке, имеет нестабильные продажи, низкую эффективность деятельности, не обладает необходимыми конкурентными преимуществами), то для него высоки риски давления конкуренции, что подразумевает вытеснение более слабого более сильным. В этой связи важным является наличие у предприятия способности противостоять конкурентному давлению и способности повышать свой экономический потенциал, обеспечивая собственное развитие в необходимом для этого темпе. </w:t>
      </w:r>
    </w:p>
    <w:p w:rsidR="0030059A" w:rsidRPr="00B644BF" w:rsidRDefault="0030059A" w:rsidP="00F3513E">
      <w:pPr>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rPr>
        <w:t xml:space="preserve">ж) низкая конкурентоспособность продукции </w:t>
      </w:r>
    </w:p>
    <w:p w:rsidR="0030059A" w:rsidRPr="00B644BF" w:rsidRDefault="0030059A" w:rsidP="00F3513E">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lastRenderedPageBreak/>
        <w:t xml:space="preserve">Конкурентоспособность продукции, как правило, зависит от ее качества и уровня цены. Низкая конкурентоспособность означает, что у продукции предприятия качество более низкое, чем у конкурентов, а цена выше, чем у конкурентов. Низкий уровень конкурентоспособности продукции формирует риск проблем с реализацией продукции, даже при благоприятной рыночной ситуации, в том числе конкурентной. Наиболее подвержены такому риску предприятия, для которых в первую очередь характерна низкая эффективность маркетинговой деятельности. </w:t>
      </w:r>
    </w:p>
    <w:p w:rsidR="0030059A" w:rsidRPr="00B644BF" w:rsidRDefault="0030059A" w:rsidP="00F3513E">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Таким образом, предприятие при осуществлении сбытовой деятельности может сталкиваться с большим количеством рисков, источники которых связаны не только с продажами, но и другими причинами, возникающих в производственной, финансовой, маркетинговой деятельности, а также во внешней среде. Важно понимать, какие источники способны приводить к появлению рисков. Для этого требуется проводить анализ, позволяющий как выявлять причины, так и определять меры по их сокращению или предотвращению возникновения. Также необходимо уметь устанавливать связи между функциональными видами деятельности предприятия, источниками рисков, что позволит более полно предусмотреть возможные негативные сценарии развития событий и своевременно подготовиться к их преодолению. </w:t>
      </w:r>
    </w:p>
    <w:p w:rsidR="0030059A" w:rsidRPr="00B644BF" w:rsidRDefault="0030059A" w:rsidP="0030059A">
      <w:pPr>
        <w:spacing w:after="0" w:line="240" w:lineRule="auto"/>
        <w:ind w:firstLine="709"/>
        <w:jc w:val="both"/>
        <w:rPr>
          <w:rFonts w:ascii="Times New Roman" w:hAnsi="Times New Roman" w:cs="Times New Roman"/>
          <w:sz w:val="28"/>
          <w:szCs w:val="28"/>
        </w:rPr>
      </w:pPr>
    </w:p>
    <w:p w:rsidR="00211EEF" w:rsidRPr="00B644BF" w:rsidRDefault="00211EEF" w:rsidP="00F3513E">
      <w:pPr>
        <w:spacing w:after="0" w:line="240" w:lineRule="auto"/>
        <w:ind w:firstLine="709"/>
        <w:jc w:val="center"/>
        <w:rPr>
          <w:rFonts w:ascii="Times New Roman" w:hAnsi="Times New Roman" w:cs="Times New Roman"/>
          <w:b/>
          <w:bCs/>
          <w:sz w:val="28"/>
          <w:szCs w:val="28"/>
        </w:rPr>
      </w:pPr>
      <w:r w:rsidRPr="00B644BF">
        <w:rPr>
          <w:rFonts w:ascii="Times New Roman" w:hAnsi="Times New Roman" w:cs="Times New Roman"/>
          <w:b/>
          <w:bCs/>
          <w:sz w:val="28"/>
          <w:szCs w:val="28"/>
        </w:rPr>
        <w:t>МЕЖДУНАРОДНО-ПРАВОВАЯ ОХРАНА ИНТЕЛЛЕКТУАЛЬНОЙ СОБСТВЕННОСТИ</w:t>
      </w:r>
    </w:p>
    <w:p w:rsidR="00211EEF" w:rsidRPr="00B644BF" w:rsidRDefault="00211EEF" w:rsidP="00F3513E">
      <w:pPr>
        <w:spacing w:after="0" w:line="240" w:lineRule="auto"/>
        <w:ind w:firstLine="709"/>
        <w:jc w:val="center"/>
        <w:rPr>
          <w:rFonts w:ascii="Times New Roman" w:hAnsi="Times New Roman" w:cs="Times New Roman"/>
          <w:b/>
          <w:bCs/>
          <w:sz w:val="28"/>
          <w:szCs w:val="28"/>
        </w:rPr>
      </w:pPr>
    </w:p>
    <w:p w:rsidR="00211EEF" w:rsidRPr="00B644BF" w:rsidRDefault="00211EEF" w:rsidP="00F3513E">
      <w:pPr>
        <w:spacing w:after="0" w:line="240" w:lineRule="auto"/>
        <w:ind w:firstLine="709"/>
        <w:jc w:val="center"/>
        <w:rPr>
          <w:rFonts w:ascii="Times New Roman" w:hAnsi="Times New Roman" w:cs="Times New Roman"/>
          <w:b/>
          <w:bCs/>
          <w:sz w:val="28"/>
          <w:szCs w:val="28"/>
        </w:rPr>
      </w:pPr>
      <w:r w:rsidRPr="00B644BF">
        <w:rPr>
          <w:rFonts w:ascii="Times New Roman" w:hAnsi="Times New Roman" w:cs="Times New Roman"/>
          <w:b/>
          <w:bCs/>
          <w:sz w:val="28"/>
          <w:szCs w:val="28"/>
        </w:rPr>
        <w:t>Прудникова Татьяна Анатольевна</w:t>
      </w:r>
    </w:p>
    <w:p w:rsidR="00211EEF" w:rsidRPr="00B644BF" w:rsidRDefault="00211EEF" w:rsidP="00F3513E">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старший преподаватель кафедры юриспруденции учреждения образования «Могилевский государственный университет имени А.А. Кулешова»</w:t>
      </w:r>
    </w:p>
    <w:p w:rsidR="00211EEF" w:rsidRPr="00B644BF" w:rsidRDefault="00211EEF" w:rsidP="00F3513E">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(г. Могилев, Беларусь)</w:t>
      </w:r>
    </w:p>
    <w:p w:rsidR="00211EEF" w:rsidRPr="00B644BF" w:rsidRDefault="00211EEF" w:rsidP="00F3513E">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lang w:val="en-US"/>
        </w:rPr>
        <w:t>prudnikova</w:t>
      </w:r>
      <w:r w:rsidRPr="00B644BF">
        <w:rPr>
          <w:rFonts w:ascii="Times New Roman" w:hAnsi="Times New Roman" w:cs="Times New Roman"/>
          <w:sz w:val="28"/>
          <w:szCs w:val="28"/>
        </w:rPr>
        <w:t>_</w:t>
      </w:r>
      <w:r w:rsidRPr="00B644BF">
        <w:rPr>
          <w:rFonts w:ascii="Times New Roman" w:hAnsi="Times New Roman" w:cs="Times New Roman"/>
          <w:sz w:val="28"/>
          <w:szCs w:val="28"/>
          <w:lang w:val="en-US"/>
        </w:rPr>
        <w:t>ta</w:t>
      </w:r>
      <w:r w:rsidRPr="00B644BF">
        <w:rPr>
          <w:rFonts w:ascii="Times New Roman" w:hAnsi="Times New Roman" w:cs="Times New Roman"/>
          <w:sz w:val="28"/>
          <w:szCs w:val="28"/>
        </w:rPr>
        <w:t>@</w:t>
      </w:r>
      <w:r w:rsidRPr="00B644BF">
        <w:rPr>
          <w:rFonts w:ascii="Times New Roman" w:hAnsi="Times New Roman" w:cs="Times New Roman"/>
          <w:sz w:val="28"/>
          <w:szCs w:val="28"/>
          <w:lang w:val="en-US"/>
        </w:rPr>
        <w:t>m</w:t>
      </w:r>
      <w:r w:rsidRPr="00B644BF">
        <w:rPr>
          <w:rFonts w:ascii="Times New Roman" w:hAnsi="Times New Roman" w:cs="Times New Roman"/>
          <w:sz w:val="28"/>
          <w:szCs w:val="28"/>
        </w:rPr>
        <w:t>.</w:t>
      </w:r>
      <w:r w:rsidRPr="00B644BF">
        <w:rPr>
          <w:rFonts w:ascii="Times New Roman" w:hAnsi="Times New Roman" w:cs="Times New Roman"/>
          <w:sz w:val="28"/>
          <w:szCs w:val="28"/>
          <w:lang w:val="en-US"/>
        </w:rPr>
        <w:t>msu</w:t>
      </w:r>
      <w:r w:rsidRPr="00B644BF">
        <w:rPr>
          <w:rFonts w:ascii="Times New Roman" w:hAnsi="Times New Roman" w:cs="Times New Roman"/>
          <w:sz w:val="28"/>
          <w:szCs w:val="28"/>
        </w:rPr>
        <w:t>.</w:t>
      </w:r>
      <w:r w:rsidRPr="00B644BF">
        <w:rPr>
          <w:rFonts w:ascii="Times New Roman" w:hAnsi="Times New Roman" w:cs="Times New Roman"/>
          <w:sz w:val="28"/>
          <w:szCs w:val="28"/>
          <w:lang w:val="en-US"/>
        </w:rPr>
        <w:t>by</w:t>
      </w:r>
    </w:p>
    <w:p w:rsidR="00211EEF" w:rsidRPr="00B644BF" w:rsidRDefault="00211EEF" w:rsidP="00F3513E">
      <w:pPr>
        <w:spacing w:after="0" w:line="240" w:lineRule="auto"/>
        <w:ind w:firstLine="709"/>
        <w:jc w:val="center"/>
        <w:rPr>
          <w:rFonts w:ascii="Times New Roman" w:hAnsi="Times New Roman" w:cs="Times New Roman"/>
          <w:sz w:val="28"/>
          <w:szCs w:val="28"/>
        </w:rPr>
      </w:pPr>
    </w:p>
    <w:p w:rsidR="00211EEF" w:rsidRPr="00F3513E" w:rsidRDefault="00211EEF" w:rsidP="00F3513E">
      <w:pPr>
        <w:spacing w:after="0" w:line="240" w:lineRule="auto"/>
        <w:ind w:firstLine="709"/>
        <w:jc w:val="both"/>
        <w:rPr>
          <w:rFonts w:ascii="Times New Roman" w:hAnsi="Times New Roman" w:cs="Times New Roman"/>
          <w:iCs/>
          <w:sz w:val="24"/>
        </w:rPr>
      </w:pPr>
      <w:r w:rsidRPr="00B644BF">
        <w:rPr>
          <w:rFonts w:ascii="Times New Roman" w:hAnsi="Times New Roman" w:cs="Times New Roman"/>
          <w:b/>
          <w:bCs/>
          <w:sz w:val="24"/>
        </w:rPr>
        <w:t>Аннотация.</w:t>
      </w:r>
      <w:r w:rsidRPr="00B644BF">
        <w:rPr>
          <w:rFonts w:ascii="Times New Roman" w:hAnsi="Times New Roman" w:cs="Times New Roman"/>
          <w:i/>
          <w:iCs/>
          <w:sz w:val="24"/>
        </w:rPr>
        <w:t xml:space="preserve"> </w:t>
      </w:r>
      <w:r w:rsidRPr="00F3513E">
        <w:rPr>
          <w:rFonts w:ascii="Times New Roman" w:hAnsi="Times New Roman" w:cs="Times New Roman"/>
          <w:iCs/>
          <w:sz w:val="24"/>
        </w:rPr>
        <w:t>В статье рассматриваются международно-правовые основы, формирующие систему охраны интеллектуальной собственности. Проведен анализ ключевых международных договоров и конвенций, а также рассмотрены принципы, лежащие в основе трансграничной защиты прав авторов, изобретателей и иных правообладателей объектов интеллектуальной собственности.</w:t>
      </w:r>
    </w:p>
    <w:p w:rsidR="00211EEF" w:rsidRPr="00B644BF" w:rsidRDefault="00211EEF" w:rsidP="00F3513E">
      <w:pPr>
        <w:spacing w:after="0" w:line="240" w:lineRule="auto"/>
        <w:ind w:firstLine="709"/>
        <w:jc w:val="both"/>
        <w:rPr>
          <w:rFonts w:ascii="Times New Roman" w:hAnsi="Times New Roman" w:cs="Times New Roman"/>
          <w:i/>
          <w:iCs/>
          <w:sz w:val="24"/>
        </w:rPr>
      </w:pPr>
      <w:r w:rsidRPr="00B644BF">
        <w:rPr>
          <w:rFonts w:ascii="Times New Roman" w:hAnsi="Times New Roman" w:cs="Times New Roman"/>
          <w:b/>
          <w:bCs/>
          <w:sz w:val="24"/>
        </w:rPr>
        <w:t xml:space="preserve">Ключевые слова. </w:t>
      </w:r>
      <w:r w:rsidRPr="00F3513E">
        <w:rPr>
          <w:rFonts w:ascii="Times New Roman" w:hAnsi="Times New Roman" w:cs="Times New Roman"/>
          <w:iCs/>
          <w:sz w:val="24"/>
        </w:rPr>
        <w:t>Интеллектуальная собственность, авторское право, смежные права, промышленная собственность, защита, эволюция, международно-правовая охрана.</w:t>
      </w:r>
    </w:p>
    <w:p w:rsidR="00211EEF" w:rsidRPr="00B644BF" w:rsidRDefault="00211EEF" w:rsidP="00F3513E">
      <w:pPr>
        <w:spacing w:after="0" w:line="240" w:lineRule="auto"/>
        <w:ind w:firstLine="709"/>
        <w:rPr>
          <w:rFonts w:ascii="Times New Roman" w:hAnsi="Times New Roman" w:cs="Times New Roman"/>
          <w:sz w:val="28"/>
          <w:szCs w:val="28"/>
        </w:rPr>
      </w:pPr>
    </w:p>
    <w:p w:rsidR="00211EEF" w:rsidRPr="00B644BF" w:rsidRDefault="00211EEF" w:rsidP="00F3513E">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Обеспечение охраны прав интеллектуальной собственности является неотъемлемой и наиболее важной частью законодательства любого государства, как в области промышленной собственности, так и в области авторского права и смежных прав.</w:t>
      </w:r>
    </w:p>
    <w:p w:rsidR="00211EEF" w:rsidRPr="00B644BF" w:rsidRDefault="00211EEF" w:rsidP="00F3513E">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lastRenderedPageBreak/>
        <w:t xml:space="preserve">Исходя из анализа исторического развития международно-правовой охраны интеллектуальной собственного, изложенного в предыдущем разделе магистерской диссертации, следует, что закрепление законодательно термина «исключительные права» было обусловлено общим пониманием большинством ученых того времени особого характера результатов интеллектуальной деятельности, права на которые должны занимать свое место в системе имущественных прав, не смешиваясь с вещными правами. </w:t>
      </w:r>
    </w:p>
    <w:p w:rsidR="00211EEF" w:rsidRPr="00B644BF" w:rsidRDefault="00211EEF" w:rsidP="00F3513E">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Международное право интеллектуальной собственности начало формироваться в конце XIX века, когда были приняты акты, регулирующие право интеллектуальной собственности в отношениях между различными государствами (Парижская, Бернская, Женевская Конвенции) [1, с. 5-7].</w:t>
      </w:r>
    </w:p>
    <w:p w:rsidR="00211EEF" w:rsidRPr="00B644BF" w:rsidRDefault="00211EEF" w:rsidP="00F3513E">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Идея защиты прав авторов на их произведения фактически возникла только с началом процесса книгопечатания. Французский король Людвиг </w:t>
      </w:r>
      <w:r w:rsidRPr="00B644BF">
        <w:rPr>
          <w:rFonts w:ascii="Times New Roman" w:hAnsi="Times New Roman" w:cs="Times New Roman"/>
          <w:sz w:val="28"/>
          <w:szCs w:val="28"/>
          <w:lang w:val="en-US"/>
        </w:rPr>
        <w:t>XII</w:t>
      </w:r>
      <w:r w:rsidRPr="00B644BF">
        <w:rPr>
          <w:rFonts w:ascii="Times New Roman" w:hAnsi="Times New Roman" w:cs="Times New Roman"/>
          <w:sz w:val="28"/>
          <w:szCs w:val="28"/>
        </w:rPr>
        <w:t xml:space="preserve"> назвал это открытие «более божественным, чем человеческим изобретением», что, в свою очередь, породило новый источник дохода и, одновременно, новые проблемы, связанные с защитой авторских прав и, прежде всего, с правами издателей. «На деле же оказалось, что с выходом одной книги авторы и издатели встретили выгодную для себя конкуренцию в лице других издательств, которые, воспользовавшись отпечатанным экземпляром, перепечатали свои, без всяких затрат и продали книгу по более дешевой цене, убив таким образом первое издание» [1].</w:t>
      </w:r>
    </w:p>
    <w:p w:rsidR="00211EEF" w:rsidRPr="00B644BF" w:rsidRDefault="00211EEF" w:rsidP="00F3513E">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Изложенное выше впервые породило необходимость защиты авторских прав, в целях реализации которой первоначально были предоставлены привилегии, дававшие издателю исключительное право на конкретное произведение и запрещавшие другим издателям публиковать данное произведение.</w:t>
      </w:r>
    </w:p>
    <w:p w:rsidR="00211EEF" w:rsidRPr="00B644BF" w:rsidRDefault="00211EEF" w:rsidP="00F3513E">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Старейшим институтом права интеллектуальной собственности является авторское право. Первые представления об авторском праве появились уже тогда, когда само духовное творчество стало самостоятельной деятельностью. Например, заимствование чужого произведения, равно как и его искажение, осуждалось в древности. В Древней Греции существовало положение, при котором рукописи получивших признание трагедий должны были храниться в официальных архивах для проверки целостности текста при постановке пьес [1, с. 5-7; 2, с. 101-114].</w:t>
      </w:r>
    </w:p>
    <w:p w:rsidR="00211EEF" w:rsidRPr="00B644BF" w:rsidRDefault="00211EEF" w:rsidP="00F3513E">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Первый закон об авторском праве был принят в 1710 году в Англии под названием «Статут королевы Анны», который устанавливал личное право на охрану опубликованного произведения, а также запрет его распространения без соответствующего согласия лица, создавшего произведение. Статут устанавливал право автора на охрану изданного </w:t>
      </w:r>
      <w:r w:rsidRPr="00B644BF">
        <w:rPr>
          <w:rFonts w:ascii="Times New Roman" w:hAnsi="Times New Roman" w:cs="Times New Roman"/>
          <w:sz w:val="28"/>
          <w:szCs w:val="28"/>
        </w:rPr>
        <w:lastRenderedPageBreak/>
        <w:t>произведения на срок четырнадцать лет, который при жизни автора произведения мог быть продлен еще на такой же срок. Прототипом современных патентных законов также стал принятый в Англии «Статут Якова I» (или «Статут монополий») 1624 года. В статуте была установлена важнейшая норма: «суверенитет не может выдавать никаких патентов, кроме патентов на изобретения» [2, с. 101-114].</w:t>
      </w:r>
    </w:p>
    <w:p w:rsidR="00211EEF" w:rsidRPr="00B644BF" w:rsidRDefault="00211EEF" w:rsidP="00F3513E">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История патентного права начинается с привилегий на изобретения, появившихся в конце средневековья. Этому способствовали два фактора: первый – процесс постепенного «облагораживания» понятия «ручной труд» в сознании людей, а второй – значительное развитие ремесленного искусства и появление так называемых «мастерских», которые объединяли группы ремесленников и действовали строго в соответствии со своими правилами. Эти мастерские были вовлечены в фундаментальную борьбу со всеми видами инноваций, независимо от их характера, потому что по мнению хозяев данных мастерских эти инновации приводили к трудностям в «здоровой конкуренции» между мастерскими и могли привести к закрытию источников рабочей силы [3].</w:t>
      </w:r>
    </w:p>
    <w:p w:rsidR="00211EEF" w:rsidRPr="00B644BF" w:rsidRDefault="00211EEF" w:rsidP="00F3513E">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Первым патентным законом стала Декларация Венецианской республики 1474 г., согласно которой каждый гражданин, создавший машину, ранее не используемую на территории государства, получал привилегию, а всем остальным государствам запрещалось в течение десяти лет производить подобные машины.</w:t>
      </w:r>
    </w:p>
    <w:p w:rsidR="00211EEF" w:rsidRPr="00B644BF" w:rsidRDefault="00211EEF" w:rsidP="00F3513E">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Для защиты прав изобретателей в то время возникла королевская власть, выдававшая так называемые «личные привилегии», которые по сути являлись прототипом современных патентов на изобретения. Целью этих привилегий было освобождение изобретателя (физического лица) от контроля со стороны мастерской (цеха).</w:t>
      </w:r>
    </w:p>
    <w:p w:rsidR="00211EEF" w:rsidRPr="00B644BF" w:rsidRDefault="00211EEF" w:rsidP="00F3513E">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Первоначально предоставленные привилегии основывались на королевской воле, поэтому никто не имел права требовать, чтобы правительство предоставило ему эту привилегию [3].</w:t>
      </w:r>
    </w:p>
    <w:p w:rsidR="00211EEF" w:rsidRPr="00B644BF" w:rsidRDefault="00211EEF" w:rsidP="00F3513E">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Окончательным и точным прототипом патента </w:t>
      </w:r>
      <w:r w:rsidRPr="00B644BF">
        <w:rPr>
          <w:rFonts w:ascii="Times New Roman" w:hAnsi="Times New Roman" w:cs="Times New Roman"/>
          <w:sz w:val="28"/>
          <w:szCs w:val="28"/>
          <w:lang w:val="en-US"/>
        </w:rPr>
        <w:t>XIX</w:t>
      </w:r>
      <w:r w:rsidRPr="00B644BF">
        <w:rPr>
          <w:rFonts w:ascii="Times New Roman" w:hAnsi="Times New Roman" w:cs="Times New Roman"/>
          <w:sz w:val="28"/>
          <w:szCs w:val="28"/>
        </w:rPr>
        <w:t xml:space="preserve"> века можно признать привилегию, предоставленную в 1752 году профессору М. В. Ломоносову на изготовление различных стекол и других галантерейных предметов. «Чтобы Ломоносов, как первый исследователь этих вещей, за проделанную им работу, мог иметь удовольствие на протяжении 30 лет, никому другому на создание этих предметов не позволено давать разрешения». Привилегия, предоставленная М. В. Ломоносову, обозначила несколько основных принципов патентного права. Во-первых, монополия производителя, во-вторых, право пользоваться патентом и получать соответствующее вознаграждение, в-третьих, срочность выдачи патента [1, с. 5-7; 2, с. 101-114].</w:t>
      </w:r>
    </w:p>
    <w:p w:rsidR="00211EEF" w:rsidRPr="00B644BF" w:rsidRDefault="00211EEF" w:rsidP="00F3513E">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В последние годы в международном сообществе объекты авторского права и патентного права объединяются в глобальную группу, </w:t>
      </w:r>
      <w:r w:rsidRPr="00B644BF">
        <w:rPr>
          <w:rFonts w:ascii="Times New Roman" w:hAnsi="Times New Roman" w:cs="Times New Roman"/>
          <w:sz w:val="28"/>
          <w:szCs w:val="28"/>
        </w:rPr>
        <w:lastRenderedPageBreak/>
        <w:t>получившую название «интеллектуальная собственность». Это связано с заключением Стокгольмской конвенции от 14 июля 1967 года, учреждающей Всемирную организацию интеллектуальной собственности (ВОИС). Членами ВОИС были 166 стран, в том числе Россия, Украина, Беларусь, Литва и др.</w:t>
      </w:r>
    </w:p>
    <w:p w:rsidR="00211EEF" w:rsidRPr="00B644BF" w:rsidRDefault="00211EEF" w:rsidP="00F3513E">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Согласно статье 2 Стокгольмской конвенции от 14 июля 1967 г., защита интеллектуальной собственности включает:</w:t>
      </w:r>
    </w:p>
    <w:p w:rsidR="00211EEF" w:rsidRPr="00B644BF" w:rsidRDefault="00211EEF" w:rsidP="00F3513E">
      <w:pPr>
        <w:numPr>
          <w:ilvl w:val="0"/>
          <w:numId w:val="17"/>
        </w:numPr>
        <w:tabs>
          <w:tab w:val="clear" w:pos="720"/>
          <w:tab w:val="num" w:pos="0"/>
        </w:tabs>
        <w:spacing w:after="0" w:line="240" w:lineRule="auto"/>
        <w:ind w:left="0" w:firstLine="709"/>
        <w:jc w:val="both"/>
        <w:rPr>
          <w:rFonts w:ascii="Times New Roman" w:hAnsi="Times New Roman" w:cs="Times New Roman"/>
          <w:sz w:val="28"/>
          <w:szCs w:val="28"/>
        </w:rPr>
      </w:pPr>
      <w:r w:rsidRPr="00B644BF">
        <w:rPr>
          <w:rFonts w:ascii="Times New Roman" w:hAnsi="Times New Roman" w:cs="Times New Roman"/>
          <w:sz w:val="28"/>
          <w:szCs w:val="28"/>
        </w:rPr>
        <w:t>права, относящиеся к литературным, художественным и научным произведениям;</w:t>
      </w:r>
    </w:p>
    <w:p w:rsidR="00211EEF" w:rsidRPr="00B644BF" w:rsidRDefault="00211EEF" w:rsidP="00F3513E">
      <w:pPr>
        <w:numPr>
          <w:ilvl w:val="0"/>
          <w:numId w:val="17"/>
        </w:numPr>
        <w:tabs>
          <w:tab w:val="clear" w:pos="720"/>
          <w:tab w:val="num" w:pos="0"/>
        </w:tabs>
        <w:spacing w:after="0" w:line="240" w:lineRule="auto"/>
        <w:ind w:left="0" w:firstLine="709"/>
        <w:jc w:val="both"/>
        <w:rPr>
          <w:rFonts w:ascii="Times New Roman" w:hAnsi="Times New Roman" w:cs="Times New Roman"/>
          <w:sz w:val="28"/>
          <w:szCs w:val="28"/>
        </w:rPr>
      </w:pPr>
      <w:r w:rsidRPr="00B644BF">
        <w:rPr>
          <w:rFonts w:ascii="Times New Roman" w:hAnsi="Times New Roman" w:cs="Times New Roman"/>
          <w:sz w:val="28"/>
          <w:szCs w:val="28"/>
        </w:rPr>
        <w:t>права, относящиеся к исполнительской деятельности артистов, звукозаписи, радио- и телевизионным передачам;</w:t>
      </w:r>
    </w:p>
    <w:p w:rsidR="00211EEF" w:rsidRPr="00B644BF" w:rsidRDefault="00211EEF" w:rsidP="00F3513E">
      <w:pPr>
        <w:numPr>
          <w:ilvl w:val="0"/>
          <w:numId w:val="17"/>
        </w:numPr>
        <w:tabs>
          <w:tab w:val="clear" w:pos="720"/>
          <w:tab w:val="num" w:pos="0"/>
        </w:tabs>
        <w:spacing w:after="0" w:line="240" w:lineRule="auto"/>
        <w:ind w:left="0" w:firstLine="709"/>
        <w:jc w:val="both"/>
        <w:rPr>
          <w:rFonts w:ascii="Times New Roman" w:hAnsi="Times New Roman" w:cs="Times New Roman"/>
          <w:sz w:val="28"/>
          <w:szCs w:val="28"/>
        </w:rPr>
      </w:pPr>
      <w:r w:rsidRPr="00B644BF">
        <w:rPr>
          <w:rFonts w:ascii="Times New Roman" w:hAnsi="Times New Roman" w:cs="Times New Roman"/>
          <w:sz w:val="28"/>
          <w:szCs w:val="28"/>
        </w:rPr>
        <w:t>права, относящиеся к изобретениям во всех областях человеческой деятельности, научным открытиям;</w:t>
      </w:r>
    </w:p>
    <w:p w:rsidR="00211EEF" w:rsidRPr="00B644BF" w:rsidRDefault="00211EEF" w:rsidP="00F3513E">
      <w:pPr>
        <w:numPr>
          <w:ilvl w:val="0"/>
          <w:numId w:val="17"/>
        </w:numPr>
        <w:tabs>
          <w:tab w:val="clear" w:pos="720"/>
          <w:tab w:val="num" w:pos="0"/>
        </w:tabs>
        <w:spacing w:after="0" w:line="240" w:lineRule="auto"/>
        <w:ind w:left="0" w:firstLine="709"/>
        <w:jc w:val="both"/>
        <w:rPr>
          <w:rFonts w:ascii="Times New Roman" w:hAnsi="Times New Roman" w:cs="Times New Roman"/>
          <w:sz w:val="28"/>
          <w:szCs w:val="28"/>
        </w:rPr>
      </w:pPr>
      <w:r w:rsidRPr="00B644BF">
        <w:rPr>
          <w:rFonts w:ascii="Times New Roman" w:hAnsi="Times New Roman" w:cs="Times New Roman"/>
          <w:sz w:val="28"/>
          <w:szCs w:val="28"/>
        </w:rPr>
        <w:t>права, относящиеся промышленным образцам;</w:t>
      </w:r>
    </w:p>
    <w:p w:rsidR="00211EEF" w:rsidRPr="00B644BF" w:rsidRDefault="00211EEF" w:rsidP="00F3513E">
      <w:pPr>
        <w:numPr>
          <w:ilvl w:val="0"/>
          <w:numId w:val="17"/>
        </w:numPr>
        <w:tabs>
          <w:tab w:val="clear" w:pos="720"/>
          <w:tab w:val="num" w:pos="0"/>
        </w:tabs>
        <w:spacing w:after="0" w:line="240" w:lineRule="auto"/>
        <w:ind w:left="0" w:firstLine="709"/>
        <w:jc w:val="both"/>
        <w:rPr>
          <w:rFonts w:ascii="Times New Roman" w:hAnsi="Times New Roman" w:cs="Times New Roman"/>
          <w:sz w:val="28"/>
          <w:szCs w:val="28"/>
        </w:rPr>
      </w:pPr>
      <w:r w:rsidRPr="00B644BF">
        <w:rPr>
          <w:rFonts w:ascii="Times New Roman" w:hAnsi="Times New Roman" w:cs="Times New Roman"/>
          <w:sz w:val="28"/>
          <w:szCs w:val="28"/>
        </w:rPr>
        <w:t>права, относящиеся к товарным знакам, знакам обслуживания, фирменным наименованиям, коммерческим обозначениям;</w:t>
      </w:r>
    </w:p>
    <w:p w:rsidR="00211EEF" w:rsidRPr="00B644BF" w:rsidRDefault="00211EEF" w:rsidP="00F3513E">
      <w:pPr>
        <w:numPr>
          <w:ilvl w:val="0"/>
          <w:numId w:val="17"/>
        </w:numPr>
        <w:tabs>
          <w:tab w:val="clear" w:pos="720"/>
          <w:tab w:val="num" w:pos="0"/>
        </w:tabs>
        <w:spacing w:after="0" w:line="240" w:lineRule="auto"/>
        <w:ind w:left="0" w:firstLine="709"/>
        <w:jc w:val="both"/>
        <w:rPr>
          <w:rFonts w:ascii="Times New Roman" w:hAnsi="Times New Roman" w:cs="Times New Roman"/>
          <w:sz w:val="28"/>
          <w:szCs w:val="28"/>
        </w:rPr>
      </w:pPr>
      <w:r w:rsidRPr="00B644BF">
        <w:rPr>
          <w:rFonts w:ascii="Times New Roman" w:hAnsi="Times New Roman" w:cs="Times New Roman"/>
          <w:sz w:val="28"/>
          <w:szCs w:val="28"/>
        </w:rPr>
        <w:t>права по защите против недобросовестной конкуренции, а также все другие права, относящиеся к интеллектуальной деятельности в производственной, научной, литературной и художественной областях.</w:t>
      </w:r>
    </w:p>
    <w:p w:rsidR="00211EEF" w:rsidRPr="00B644BF" w:rsidRDefault="00211EEF" w:rsidP="00F3513E">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Об уважении прав на интеллектуальную собственность говорится и в Итоговом документе Венской встречи представителей государств – участников Совещания по безопасности и сотрудничеству в Европе [4].</w:t>
      </w:r>
    </w:p>
    <w:p w:rsidR="00211EEF" w:rsidRPr="00B644BF" w:rsidRDefault="00211EEF" w:rsidP="00F3513E">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Термин «интеллектуальная собственность» иногда использовался теоретиками права и экономистами в XVIII и XIX веках, но получил широкое распространение только во второй половине XX века, в связи с подписанием в 1967 году в Стокгольме Конвенции об учреждении Всемирной организации интеллектуальной собственности (ВОИС). </w:t>
      </w:r>
    </w:p>
    <w:p w:rsidR="00211EEF" w:rsidRPr="00B644BF" w:rsidRDefault="00211EEF" w:rsidP="00F3513E">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Таким образом, согласно учредительным документам ВОИС [4], «интеллектуальная собственность» включает права, относящиеся к: </w:t>
      </w:r>
    </w:p>
    <w:p w:rsidR="00211EEF" w:rsidRPr="00B644BF" w:rsidRDefault="00211EEF" w:rsidP="00F3513E">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 литературным, художественным и научным произведениям; </w:t>
      </w:r>
    </w:p>
    <w:p w:rsidR="00211EEF" w:rsidRPr="00B644BF" w:rsidRDefault="00211EEF" w:rsidP="00F3513E">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 деятельности художников, звукозаписям, радио-и телевизионным передачам; </w:t>
      </w:r>
    </w:p>
    <w:p w:rsidR="00211EEF" w:rsidRPr="00B644BF" w:rsidRDefault="00211EEF" w:rsidP="00F3513E">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 изобретениям во всех сферах человеческой деятельности; </w:t>
      </w:r>
    </w:p>
    <w:p w:rsidR="00211EEF" w:rsidRPr="00B644BF" w:rsidRDefault="00211EEF" w:rsidP="00F3513E">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 промышленные образцы; </w:t>
      </w:r>
    </w:p>
    <w:p w:rsidR="00211EEF" w:rsidRPr="00B644BF" w:rsidRDefault="00211EEF" w:rsidP="00F3513E">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 товарные знаки, знаки обслуживания, коммерческие наименования и коммерческие обозначения; </w:t>
      </w:r>
    </w:p>
    <w:p w:rsidR="00211EEF" w:rsidRPr="00B644BF" w:rsidRDefault="00211EEF" w:rsidP="00F3513E">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 иные права, связанные с интеллектуальной деятельностью в промышленной, научной, литературной и художественной сферах [4]. </w:t>
      </w:r>
    </w:p>
    <w:p w:rsidR="00211EEF" w:rsidRPr="00B644BF" w:rsidRDefault="00211EEF" w:rsidP="00F3513E">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Впоследствии в деятельность ВОИС были включены исключительные права, касающиеся географических указаний, новых сортов растений и пород животных, интегральных схем, радиосигналов, баз данных и доменных имен. К «интеллектуальной собственности» часто относят законы о недобросовестной конкуренции, монополиях и </w:t>
      </w:r>
      <w:r w:rsidRPr="00B644BF">
        <w:rPr>
          <w:rFonts w:ascii="Times New Roman" w:hAnsi="Times New Roman" w:cs="Times New Roman"/>
          <w:sz w:val="28"/>
          <w:szCs w:val="28"/>
        </w:rPr>
        <w:lastRenderedPageBreak/>
        <w:t>коммерческой тайне, хотя они и не представляют исключительных прав на их разработку.</w:t>
      </w:r>
    </w:p>
    <w:p w:rsidR="00211EEF" w:rsidRPr="00B644BF" w:rsidRDefault="00211EEF" w:rsidP="00F3513E">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Таким образом, исследовав эволюцию международно-правовой охраны интеллектуальной собственности, можно сделать вывод, что международное право по охране интеллектуальной собственности начало формироваться в конце XIX века, когда были приняты акты, регулирующие право интеллектуальной собственности в отношениях между различными государствами (Парижская, Бернская, Женевская Конвенции), которые предусматривают как гражданско-правовые, так и уголовно-правовые средства защиты прав.</w:t>
      </w:r>
    </w:p>
    <w:p w:rsidR="00211EEF" w:rsidRPr="00B644BF" w:rsidRDefault="00211EEF" w:rsidP="00F3513E">
      <w:pPr>
        <w:spacing w:after="0" w:line="240" w:lineRule="auto"/>
        <w:ind w:firstLine="709"/>
        <w:jc w:val="center"/>
        <w:rPr>
          <w:rFonts w:ascii="Times New Roman" w:hAnsi="Times New Roman" w:cs="Times New Roman"/>
          <w:sz w:val="28"/>
          <w:szCs w:val="32"/>
        </w:rPr>
      </w:pPr>
    </w:p>
    <w:p w:rsidR="00211EEF" w:rsidRPr="00F3513E" w:rsidRDefault="00211EEF" w:rsidP="00F3513E">
      <w:pPr>
        <w:spacing w:after="0" w:line="240" w:lineRule="auto"/>
        <w:ind w:firstLine="709"/>
        <w:jc w:val="center"/>
        <w:rPr>
          <w:rFonts w:ascii="Times New Roman" w:hAnsi="Times New Roman" w:cs="Times New Roman"/>
          <w:b/>
          <w:bCs/>
          <w:sz w:val="28"/>
          <w:szCs w:val="28"/>
        </w:rPr>
      </w:pPr>
      <w:r w:rsidRPr="00F3513E">
        <w:rPr>
          <w:rFonts w:ascii="Times New Roman" w:hAnsi="Times New Roman" w:cs="Times New Roman"/>
          <w:b/>
          <w:bCs/>
          <w:sz w:val="28"/>
          <w:szCs w:val="28"/>
        </w:rPr>
        <w:t>Список литературы</w:t>
      </w:r>
    </w:p>
    <w:p w:rsidR="00211EEF" w:rsidRPr="00B644BF" w:rsidRDefault="00211EEF" w:rsidP="00F3513E">
      <w:pPr>
        <w:pStyle w:val="a7"/>
        <w:numPr>
          <w:ilvl w:val="0"/>
          <w:numId w:val="16"/>
        </w:numPr>
        <w:tabs>
          <w:tab w:val="left" w:pos="567"/>
          <w:tab w:val="left" w:pos="1134"/>
        </w:tabs>
        <w:spacing w:after="0" w:line="240" w:lineRule="auto"/>
        <w:ind w:left="0" w:firstLine="709"/>
        <w:jc w:val="both"/>
        <w:rPr>
          <w:rFonts w:ascii="Times New Roman" w:hAnsi="Times New Roman" w:cs="Times New Roman"/>
          <w:sz w:val="24"/>
        </w:rPr>
      </w:pPr>
      <w:r w:rsidRPr="00B644BF">
        <w:rPr>
          <w:rFonts w:ascii="Times New Roman" w:hAnsi="Times New Roman" w:cs="Times New Roman"/>
          <w:sz w:val="24"/>
        </w:rPr>
        <w:t>Матюшечкин, В. М. Интеллектуальная собственность в вопросах организации стабильного бизнеса : учеб. пособие / В. М. Матюшечкин, К. К. Покровский. – М. : ЛОГОС, 2005. – С. 5–7.</w:t>
      </w:r>
    </w:p>
    <w:p w:rsidR="00211EEF" w:rsidRPr="00B644BF" w:rsidRDefault="00211EEF" w:rsidP="00F3513E">
      <w:pPr>
        <w:pStyle w:val="a7"/>
        <w:numPr>
          <w:ilvl w:val="0"/>
          <w:numId w:val="16"/>
        </w:numPr>
        <w:tabs>
          <w:tab w:val="left" w:pos="567"/>
          <w:tab w:val="left" w:pos="1134"/>
        </w:tabs>
        <w:spacing w:after="0" w:line="240" w:lineRule="auto"/>
        <w:ind w:left="0" w:firstLine="709"/>
        <w:jc w:val="both"/>
        <w:rPr>
          <w:rFonts w:ascii="Times New Roman" w:hAnsi="Times New Roman" w:cs="Times New Roman"/>
          <w:sz w:val="24"/>
        </w:rPr>
      </w:pPr>
      <w:r w:rsidRPr="00B644BF">
        <w:rPr>
          <w:rFonts w:ascii="Times New Roman" w:hAnsi="Times New Roman" w:cs="Times New Roman"/>
          <w:sz w:val="24"/>
        </w:rPr>
        <w:t>Пацкалев, А. Интеллектуальная собственность как фактор ускорения развития экономики / А. Пацкалев, Е. Шебунина // Экономика строительства. – 2004. – № 2. – С. 101–114.</w:t>
      </w:r>
    </w:p>
    <w:p w:rsidR="00211EEF" w:rsidRPr="00B644BF" w:rsidRDefault="00211EEF" w:rsidP="00F3513E">
      <w:pPr>
        <w:pStyle w:val="a7"/>
        <w:numPr>
          <w:ilvl w:val="0"/>
          <w:numId w:val="16"/>
        </w:numPr>
        <w:tabs>
          <w:tab w:val="left" w:pos="567"/>
          <w:tab w:val="left" w:pos="1134"/>
        </w:tabs>
        <w:spacing w:after="0" w:line="240" w:lineRule="auto"/>
        <w:ind w:left="0" w:firstLine="709"/>
        <w:jc w:val="both"/>
        <w:rPr>
          <w:rFonts w:ascii="Times New Roman" w:hAnsi="Times New Roman" w:cs="Times New Roman"/>
          <w:sz w:val="24"/>
        </w:rPr>
      </w:pPr>
      <w:r w:rsidRPr="00B644BF">
        <w:rPr>
          <w:rFonts w:ascii="Times New Roman" w:hAnsi="Times New Roman" w:cs="Times New Roman"/>
          <w:sz w:val="24"/>
        </w:rPr>
        <w:t>Корнеев, А. Н. Развитие инновационного сотрудничества Российской Федерации и Республики Беларусь в условиях становления Союзного государства / А. Н. Корнеев. – М. : Государственный университет управления, 2014. – 188 с.</w:t>
      </w:r>
    </w:p>
    <w:p w:rsidR="00211EEF" w:rsidRPr="00B644BF" w:rsidRDefault="00211EEF" w:rsidP="00F3513E">
      <w:pPr>
        <w:pStyle w:val="a7"/>
        <w:numPr>
          <w:ilvl w:val="0"/>
          <w:numId w:val="16"/>
        </w:numPr>
        <w:tabs>
          <w:tab w:val="left" w:pos="567"/>
          <w:tab w:val="left" w:pos="1134"/>
        </w:tabs>
        <w:spacing w:after="0" w:line="240" w:lineRule="auto"/>
        <w:ind w:left="0" w:firstLine="709"/>
        <w:jc w:val="both"/>
        <w:rPr>
          <w:rFonts w:ascii="Times New Roman" w:hAnsi="Times New Roman" w:cs="Times New Roman"/>
          <w:sz w:val="24"/>
        </w:rPr>
      </w:pPr>
      <w:r w:rsidRPr="00B644BF">
        <w:rPr>
          <w:rFonts w:ascii="Times New Roman" w:hAnsi="Times New Roman" w:cs="Times New Roman"/>
          <w:sz w:val="24"/>
        </w:rPr>
        <w:t xml:space="preserve">Конвенция, учреждающая ВОИС </w:t>
      </w:r>
      <w:r w:rsidRPr="00B644BF">
        <w:rPr>
          <w:rFonts w:ascii="Times New Roman" w:hAnsi="Times New Roman" w:cs="Times New Roman"/>
          <w:bCs/>
          <w:sz w:val="24"/>
        </w:rPr>
        <w:t xml:space="preserve">(Подписана в Стокгольме 14 июля 1967 года и изменена 2 октября 1979 года). – </w:t>
      </w:r>
      <w:r w:rsidRPr="00B644BF">
        <w:rPr>
          <w:rFonts w:ascii="Times New Roman" w:hAnsi="Times New Roman" w:cs="Times New Roman"/>
          <w:sz w:val="24"/>
          <w:lang w:val="en-US"/>
        </w:rPr>
        <w:t>URL</w:t>
      </w:r>
      <w:r w:rsidRPr="00B644BF">
        <w:rPr>
          <w:rFonts w:ascii="Times New Roman" w:hAnsi="Times New Roman" w:cs="Times New Roman"/>
          <w:sz w:val="24"/>
        </w:rPr>
        <w:t xml:space="preserve">: </w:t>
      </w:r>
      <w:hyperlink r:id="rId22" w:history="1">
        <w:r w:rsidRPr="00B644BF">
          <w:rPr>
            <w:rStyle w:val="a5"/>
            <w:rFonts w:ascii="Times New Roman" w:hAnsi="Times New Roman" w:cs="Times New Roman"/>
            <w:color w:val="auto"/>
            <w:sz w:val="24"/>
          </w:rPr>
          <w:t>https://rospatent.gov.ru/ru/docs/interdocs/conv_WIPO</w:t>
        </w:r>
      </w:hyperlink>
      <w:r w:rsidRPr="00B644BF">
        <w:rPr>
          <w:rFonts w:ascii="Times New Roman" w:hAnsi="Times New Roman" w:cs="Times New Roman"/>
          <w:sz w:val="24"/>
        </w:rPr>
        <w:t xml:space="preserve"> (дата обращения: 30.04.2026).</w:t>
      </w:r>
    </w:p>
    <w:p w:rsidR="00F3513E" w:rsidRDefault="00F3513E" w:rsidP="00211EEF">
      <w:pPr>
        <w:jc w:val="center"/>
        <w:rPr>
          <w:rFonts w:ascii="Times New Roman" w:hAnsi="Times New Roman" w:cs="Times New Roman"/>
          <w:b/>
        </w:rPr>
      </w:pPr>
    </w:p>
    <w:p w:rsidR="00211EEF" w:rsidRPr="00F3513E" w:rsidRDefault="00211EEF" w:rsidP="00F3513E">
      <w:pPr>
        <w:spacing w:after="0" w:line="240" w:lineRule="auto"/>
        <w:ind w:firstLine="709"/>
        <w:jc w:val="center"/>
        <w:rPr>
          <w:rFonts w:ascii="Times New Roman" w:hAnsi="Times New Roman" w:cs="Times New Roman"/>
          <w:b/>
          <w:sz w:val="28"/>
          <w:szCs w:val="28"/>
        </w:rPr>
      </w:pPr>
      <w:r w:rsidRPr="00F3513E">
        <w:rPr>
          <w:rFonts w:ascii="Times New Roman" w:hAnsi="Times New Roman" w:cs="Times New Roman"/>
          <w:b/>
          <w:sz w:val="28"/>
          <w:szCs w:val="28"/>
        </w:rPr>
        <w:t>МЕЖДУНАРОДНОЕ СОТРУДНИЧЕСТВО – СПОСОБ БЫСТРО УЛУЧШАТЬ ОБУЧЕНИЕ И ДОХОДЫ ВУЗОВ И ИХ КАДРОВ, ИСПОЛЬЗУЯ ОПЫТ ЗНАМЕНИТЫХ УНИВЕРСИТЕТОВ</w:t>
      </w:r>
    </w:p>
    <w:p w:rsidR="00F3513E" w:rsidRDefault="00F3513E" w:rsidP="00F3513E">
      <w:pPr>
        <w:spacing w:after="0" w:line="240" w:lineRule="auto"/>
        <w:ind w:firstLine="709"/>
        <w:jc w:val="center"/>
        <w:rPr>
          <w:rFonts w:ascii="Times New Roman" w:hAnsi="Times New Roman" w:cs="Times New Roman"/>
          <w:b/>
          <w:sz w:val="28"/>
          <w:szCs w:val="28"/>
        </w:rPr>
      </w:pPr>
    </w:p>
    <w:p w:rsidR="00211EEF" w:rsidRPr="00F3513E" w:rsidRDefault="00211EEF" w:rsidP="00F3513E">
      <w:pPr>
        <w:spacing w:after="0" w:line="240" w:lineRule="auto"/>
        <w:ind w:firstLine="709"/>
        <w:jc w:val="center"/>
        <w:rPr>
          <w:rFonts w:ascii="Times New Roman" w:hAnsi="Times New Roman" w:cs="Times New Roman"/>
          <w:b/>
          <w:sz w:val="28"/>
          <w:szCs w:val="28"/>
        </w:rPr>
      </w:pPr>
      <w:r w:rsidRPr="00F3513E">
        <w:rPr>
          <w:rFonts w:ascii="Times New Roman" w:hAnsi="Times New Roman" w:cs="Times New Roman"/>
          <w:b/>
          <w:sz w:val="28"/>
          <w:szCs w:val="28"/>
        </w:rPr>
        <w:t>Радченко Сергей Анатольевич</w:t>
      </w:r>
    </w:p>
    <w:p w:rsidR="00211EEF" w:rsidRPr="00F3513E" w:rsidRDefault="00211EEF" w:rsidP="00F3513E">
      <w:pPr>
        <w:spacing w:after="0" w:line="240" w:lineRule="auto"/>
        <w:ind w:firstLine="709"/>
        <w:jc w:val="center"/>
        <w:rPr>
          <w:rFonts w:ascii="Times New Roman" w:hAnsi="Times New Roman" w:cs="Times New Roman"/>
          <w:sz w:val="28"/>
          <w:szCs w:val="28"/>
        </w:rPr>
      </w:pPr>
      <w:r w:rsidRPr="00F3513E">
        <w:rPr>
          <w:rFonts w:ascii="Times New Roman" w:hAnsi="Times New Roman" w:cs="Times New Roman"/>
          <w:sz w:val="28"/>
          <w:szCs w:val="28"/>
        </w:rPr>
        <w:t>профессор кафедры агроинженерии и техносферной безопасности федерального государственного бюджетного образовательного учреждения высшего образования «Тульский государственный педагогический университет им. Л.Н. Толстого»; доктор технических наук, доцент (г. Тула, Российская Федерация)</w:t>
      </w:r>
    </w:p>
    <w:p w:rsidR="00211EEF" w:rsidRPr="00F3513E" w:rsidRDefault="00F975FD" w:rsidP="00F3513E">
      <w:pPr>
        <w:spacing w:after="0" w:line="240" w:lineRule="auto"/>
        <w:ind w:firstLine="709"/>
        <w:jc w:val="center"/>
        <w:rPr>
          <w:rFonts w:ascii="Times New Roman" w:hAnsi="Times New Roman" w:cs="Times New Roman"/>
          <w:sz w:val="28"/>
          <w:szCs w:val="28"/>
        </w:rPr>
      </w:pPr>
      <w:hyperlink r:id="rId23" w:history="1">
        <w:r w:rsidR="00211EEF" w:rsidRPr="00F3513E">
          <w:rPr>
            <w:rStyle w:val="a5"/>
            <w:rFonts w:ascii="Times New Roman" w:hAnsi="Times New Roman" w:cs="Times New Roman"/>
            <w:color w:val="auto"/>
            <w:sz w:val="28"/>
            <w:szCs w:val="28"/>
            <w:u w:val="none"/>
            <w:lang w:val="en-US"/>
          </w:rPr>
          <w:t>radchenko</w:t>
        </w:r>
        <w:r w:rsidR="00211EEF" w:rsidRPr="00F3513E">
          <w:rPr>
            <w:rStyle w:val="a5"/>
            <w:rFonts w:ascii="Times New Roman" w:hAnsi="Times New Roman" w:cs="Times New Roman"/>
            <w:color w:val="auto"/>
            <w:sz w:val="28"/>
            <w:szCs w:val="28"/>
            <w:u w:val="none"/>
          </w:rPr>
          <w:t>.</w:t>
        </w:r>
        <w:r w:rsidR="00211EEF" w:rsidRPr="00F3513E">
          <w:rPr>
            <w:rStyle w:val="a5"/>
            <w:rFonts w:ascii="Times New Roman" w:hAnsi="Times New Roman" w:cs="Times New Roman"/>
            <w:color w:val="auto"/>
            <w:sz w:val="28"/>
            <w:szCs w:val="28"/>
            <w:u w:val="none"/>
            <w:lang w:val="en-US"/>
          </w:rPr>
          <w:t>s</w:t>
        </w:r>
        <w:r w:rsidR="00211EEF" w:rsidRPr="00F3513E">
          <w:rPr>
            <w:rStyle w:val="a5"/>
            <w:rFonts w:ascii="Times New Roman" w:hAnsi="Times New Roman" w:cs="Times New Roman"/>
            <w:color w:val="auto"/>
            <w:sz w:val="28"/>
            <w:szCs w:val="28"/>
            <w:u w:val="none"/>
          </w:rPr>
          <w:t>.</w:t>
        </w:r>
        <w:r w:rsidR="00211EEF" w:rsidRPr="00F3513E">
          <w:rPr>
            <w:rStyle w:val="a5"/>
            <w:rFonts w:ascii="Times New Roman" w:hAnsi="Times New Roman" w:cs="Times New Roman"/>
            <w:color w:val="auto"/>
            <w:sz w:val="28"/>
            <w:szCs w:val="28"/>
            <w:u w:val="none"/>
            <w:lang w:val="en-US"/>
          </w:rPr>
          <w:t>a</w:t>
        </w:r>
        <w:r w:rsidR="00211EEF" w:rsidRPr="00F3513E">
          <w:rPr>
            <w:rStyle w:val="a5"/>
            <w:rFonts w:ascii="Times New Roman" w:hAnsi="Times New Roman" w:cs="Times New Roman"/>
            <w:color w:val="auto"/>
            <w:sz w:val="28"/>
            <w:szCs w:val="28"/>
            <w:u w:val="none"/>
          </w:rPr>
          <w:t>.</w:t>
        </w:r>
        <w:r w:rsidR="00211EEF" w:rsidRPr="00F3513E">
          <w:rPr>
            <w:rStyle w:val="a5"/>
            <w:rFonts w:ascii="Times New Roman" w:hAnsi="Times New Roman" w:cs="Times New Roman"/>
            <w:color w:val="auto"/>
            <w:sz w:val="28"/>
            <w:szCs w:val="28"/>
            <w:u w:val="none"/>
            <w:lang w:val="en-US"/>
          </w:rPr>
          <w:t>tula</w:t>
        </w:r>
        <w:r w:rsidR="00211EEF" w:rsidRPr="00F3513E">
          <w:rPr>
            <w:rStyle w:val="a5"/>
            <w:rFonts w:ascii="Times New Roman" w:hAnsi="Times New Roman" w:cs="Times New Roman"/>
            <w:color w:val="auto"/>
            <w:sz w:val="28"/>
            <w:szCs w:val="28"/>
            <w:u w:val="none"/>
          </w:rPr>
          <w:t>@</w:t>
        </w:r>
        <w:r w:rsidR="00211EEF" w:rsidRPr="00F3513E">
          <w:rPr>
            <w:rStyle w:val="a5"/>
            <w:rFonts w:ascii="Times New Roman" w:hAnsi="Times New Roman" w:cs="Times New Roman"/>
            <w:color w:val="auto"/>
            <w:sz w:val="28"/>
            <w:szCs w:val="28"/>
            <w:u w:val="none"/>
            <w:lang w:val="en-US"/>
          </w:rPr>
          <w:t>mail</w:t>
        </w:r>
        <w:r w:rsidR="00211EEF" w:rsidRPr="00F3513E">
          <w:rPr>
            <w:rStyle w:val="a5"/>
            <w:rFonts w:ascii="Times New Roman" w:hAnsi="Times New Roman" w:cs="Times New Roman"/>
            <w:color w:val="auto"/>
            <w:sz w:val="28"/>
            <w:szCs w:val="28"/>
            <w:u w:val="none"/>
          </w:rPr>
          <w:t>.</w:t>
        </w:r>
        <w:r w:rsidR="00211EEF" w:rsidRPr="00F3513E">
          <w:rPr>
            <w:rStyle w:val="a5"/>
            <w:rFonts w:ascii="Times New Roman" w:hAnsi="Times New Roman" w:cs="Times New Roman"/>
            <w:color w:val="auto"/>
            <w:sz w:val="28"/>
            <w:szCs w:val="28"/>
            <w:u w:val="none"/>
            <w:lang w:val="en-US"/>
          </w:rPr>
          <w:t>ru</w:t>
        </w:r>
      </w:hyperlink>
    </w:p>
    <w:p w:rsidR="00211EEF" w:rsidRPr="00B644BF" w:rsidRDefault="00211EEF" w:rsidP="00F3513E">
      <w:pPr>
        <w:shd w:val="clear" w:color="auto" w:fill="FFFFFF"/>
        <w:spacing w:after="0" w:line="240" w:lineRule="auto"/>
        <w:ind w:firstLine="709"/>
        <w:jc w:val="both"/>
        <w:rPr>
          <w:rFonts w:ascii="Times New Roman" w:hAnsi="Times New Roman" w:cs="Times New Roman"/>
          <w:sz w:val="24"/>
          <w:szCs w:val="24"/>
        </w:rPr>
      </w:pPr>
      <w:r w:rsidRPr="00B644BF">
        <w:rPr>
          <w:rFonts w:ascii="Times New Roman" w:hAnsi="Times New Roman" w:cs="Times New Roman"/>
          <w:b/>
          <w:sz w:val="24"/>
          <w:szCs w:val="24"/>
        </w:rPr>
        <w:t>Аннотация.</w:t>
      </w:r>
      <w:r w:rsidRPr="00B644BF">
        <w:rPr>
          <w:rFonts w:ascii="Times New Roman" w:hAnsi="Times New Roman" w:cs="Times New Roman"/>
          <w:b/>
        </w:rPr>
        <w:t xml:space="preserve"> </w:t>
      </w:r>
      <w:r w:rsidRPr="00B644BF">
        <w:rPr>
          <w:rFonts w:ascii="Times New Roman" w:hAnsi="Times New Roman" w:cs="Times New Roman"/>
          <w:sz w:val="24"/>
          <w:szCs w:val="24"/>
        </w:rPr>
        <w:t>Научно обоснована и подготовлена реальная возможность быстро и сильно улучшать без больших расходов бюджетов всех уровней обучение, внедрение инноваций и решение экономических проблем в регионах, используя: 1 – лучший опыт самых знаменитых университетов России и ведущих стран мира, изучаемый автором 35 лет; 2 – международное сотрудничество.</w:t>
      </w:r>
      <w:r w:rsidRPr="00B644BF">
        <w:rPr>
          <w:rFonts w:ascii="Times New Roman" w:hAnsi="Times New Roman" w:cs="Times New Roman"/>
          <w:sz w:val="16"/>
          <w:szCs w:val="16"/>
        </w:rPr>
        <w:t xml:space="preserve"> </w:t>
      </w:r>
      <w:r w:rsidRPr="00B644BF">
        <w:rPr>
          <w:rFonts w:ascii="Times New Roman" w:hAnsi="Times New Roman" w:cs="Times New Roman"/>
          <w:sz w:val="24"/>
          <w:szCs w:val="24"/>
        </w:rPr>
        <w:t>Реализация уникальной</w:t>
      </w:r>
      <w:r w:rsidRPr="00B644BF">
        <w:rPr>
          <w:rFonts w:ascii="Times New Roman" w:hAnsi="Times New Roman" w:cs="Times New Roman"/>
          <w:sz w:val="16"/>
          <w:szCs w:val="16"/>
        </w:rPr>
        <w:t xml:space="preserve"> </w:t>
      </w:r>
      <w:r w:rsidRPr="00B644BF">
        <w:rPr>
          <w:rFonts w:ascii="Times New Roman" w:hAnsi="Times New Roman" w:cs="Times New Roman"/>
          <w:sz w:val="24"/>
          <w:szCs w:val="24"/>
        </w:rPr>
        <w:t>4-этапной программы многостороннего международного сотрудничества</w:t>
      </w:r>
      <w:r w:rsidRPr="00B644BF">
        <w:rPr>
          <w:rFonts w:ascii="Times New Roman" w:hAnsi="Times New Roman" w:cs="Times New Roman"/>
          <w:sz w:val="16"/>
          <w:szCs w:val="16"/>
        </w:rPr>
        <w:t xml:space="preserve"> </w:t>
      </w:r>
      <w:r w:rsidRPr="00B644BF">
        <w:rPr>
          <w:rFonts w:ascii="Times New Roman" w:hAnsi="Times New Roman" w:cs="Times New Roman"/>
          <w:sz w:val="24"/>
          <w:szCs w:val="24"/>
        </w:rPr>
        <w:t>–</w:t>
      </w:r>
      <w:r w:rsidRPr="00B644BF">
        <w:rPr>
          <w:rFonts w:ascii="Times New Roman" w:hAnsi="Times New Roman" w:cs="Times New Roman"/>
          <w:sz w:val="16"/>
          <w:szCs w:val="16"/>
        </w:rPr>
        <w:t xml:space="preserve"> </w:t>
      </w:r>
      <w:r w:rsidRPr="00B644BF">
        <w:rPr>
          <w:rFonts w:ascii="Times New Roman" w:hAnsi="Times New Roman" w:cs="Times New Roman"/>
          <w:sz w:val="24"/>
          <w:szCs w:val="24"/>
        </w:rPr>
        <w:t>лучший способ улучшать обучение и доходы вузов и их ведущих кадров, эффективнее сотрудничая с органами управления.</w:t>
      </w:r>
    </w:p>
    <w:p w:rsidR="00211EEF" w:rsidRPr="00B644BF" w:rsidRDefault="00211EEF" w:rsidP="00F3513E">
      <w:pPr>
        <w:shd w:val="clear" w:color="auto" w:fill="FFFFFF"/>
        <w:spacing w:after="0" w:line="240" w:lineRule="auto"/>
        <w:ind w:firstLine="709"/>
        <w:jc w:val="both"/>
        <w:rPr>
          <w:rFonts w:ascii="Times New Roman" w:hAnsi="Times New Roman" w:cs="Times New Roman"/>
          <w:sz w:val="24"/>
          <w:szCs w:val="24"/>
        </w:rPr>
      </w:pPr>
      <w:r w:rsidRPr="00B644BF">
        <w:rPr>
          <w:rFonts w:ascii="Times New Roman" w:hAnsi="Times New Roman" w:cs="Times New Roman"/>
          <w:b/>
          <w:sz w:val="24"/>
          <w:szCs w:val="24"/>
        </w:rPr>
        <w:t>Ключевые слова</w:t>
      </w:r>
      <w:r w:rsidR="00F3513E">
        <w:rPr>
          <w:rFonts w:ascii="Times New Roman" w:hAnsi="Times New Roman" w:cs="Times New Roman"/>
          <w:b/>
          <w:sz w:val="24"/>
          <w:szCs w:val="24"/>
        </w:rPr>
        <w:t>.</w:t>
      </w:r>
      <w:r w:rsidRPr="00B644BF">
        <w:rPr>
          <w:rFonts w:ascii="Times New Roman" w:hAnsi="Times New Roman" w:cs="Times New Roman"/>
          <w:sz w:val="24"/>
          <w:szCs w:val="24"/>
        </w:rPr>
        <w:t xml:space="preserve"> улучшение обучения; лучший мировой опыт; международное сотрудничество; программа сотрудничества; хоздоговоры.</w:t>
      </w:r>
    </w:p>
    <w:p w:rsidR="00211EEF" w:rsidRPr="00B644BF" w:rsidRDefault="00211EEF" w:rsidP="00F3513E">
      <w:pPr>
        <w:shd w:val="clear" w:color="auto" w:fill="FFFFFF"/>
        <w:spacing w:after="0" w:line="240" w:lineRule="auto"/>
        <w:ind w:firstLine="709"/>
        <w:jc w:val="both"/>
        <w:rPr>
          <w:rFonts w:ascii="Times New Roman" w:hAnsi="Times New Roman" w:cs="Times New Roman"/>
          <w:sz w:val="24"/>
          <w:szCs w:val="24"/>
        </w:rPr>
      </w:pPr>
    </w:p>
    <w:p w:rsidR="00211EEF" w:rsidRPr="00F3513E" w:rsidRDefault="00211EEF" w:rsidP="00F3513E">
      <w:pPr>
        <w:spacing w:after="0" w:line="240" w:lineRule="auto"/>
        <w:ind w:firstLine="709"/>
        <w:jc w:val="both"/>
        <w:rPr>
          <w:rFonts w:ascii="Times New Roman" w:hAnsi="Times New Roman" w:cs="Times New Roman"/>
          <w:sz w:val="28"/>
          <w:szCs w:val="28"/>
        </w:rPr>
      </w:pPr>
      <w:r w:rsidRPr="00F3513E">
        <w:rPr>
          <w:rFonts w:ascii="Times New Roman" w:hAnsi="Times New Roman" w:cs="Times New Roman"/>
          <w:i/>
          <w:sz w:val="28"/>
          <w:szCs w:val="28"/>
        </w:rPr>
        <w:lastRenderedPageBreak/>
        <w:t>Необходимость использовать в регионах лучший мировой опыт</w:t>
      </w:r>
      <w:r w:rsidR="00F3513E">
        <w:rPr>
          <w:rFonts w:ascii="Times New Roman" w:hAnsi="Times New Roman" w:cs="Times New Roman"/>
          <w:i/>
          <w:sz w:val="28"/>
          <w:szCs w:val="28"/>
        </w:rPr>
        <w:t xml:space="preserve">. </w:t>
      </w:r>
      <w:r w:rsidRPr="00F3513E">
        <w:rPr>
          <w:rFonts w:ascii="Times New Roman" w:hAnsi="Times New Roman" w:cs="Times New Roman"/>
          <w:sz w:val="28"/>
          <w:szCs w:val="28"/>
        </w:rPr>
        <w:t>Наименее затратное для бюджетов обеспечение улучшения обучения в школах и в вузах регионов и массового эффективного внедрения многих новых достижений и конкурентоспособных видов современной продукции – одно из главных условий для обеспечения технологического суверенитета России и Белоруссии и успешного развития их экономических систем [1-5].</w:t>
      </w:r>
    </w:p>
    <w:p w:rsidR="00211EEF" w:rsidRPr="00F3513E" w:rsidRDefault="00211EEF" w:rsidP="00F3513E">
      <w:pPr>
        <w:spacing w:after="0" w:line="240" w:lineRule="auto"/>
        <w:ind w:firstLine="709"/>
        <w:jc w:val="both"/>
        <w:rPr>
          <w:rFonts w:ascii="Times New Roman" w:hAnsi="Times New Roman" w:cs="Times New Roman"/>
          <w:sz w:val="28"/>
          <w:szCs w:val="28"/>
        </w:rPr>
      </w:pPr>
      <w:r w:rsidRPr="00F3513E">
        <w:rPr>
          <w:rFonts w:ascii="Times New Roman" w:hAnsi="Times New Roman" w:cs="Times New Roman"/>
          <w:sz w:val="28"/>
          <w:szCs w:val="28"/>
        </w:rPr>
        <w:t>Самый реальный и быстрый способ улучшения подготовки кадров в любых регионах России и Белоруссии – многостороннее международное сотрудничество, используя лучший опыт ряда знаменитых университетов, изучаемый автором 35 лет, и наши разработки и опыт [1-6]. Это обеспечит получение университетами больших дополнительных денег и возможности:</w:t>
      </w:r>
    </w:p>
    <w:p w:rsidR="00211EEF" w:rsidRPr="00F3513E" w:rsidRDefault="00211EEF" w:rsidP="00F3513E">
      <w:pPr>
        <w:spacing w:after="0" w:line="240" w:lineRule="auto"/>
        <w:ind w:firstLine="709"/>
        <w:jc w:val="both"/>
        <w:rPr>
          <w:rFonts w:ascii="Times New Roman" w:hAnsi="Times New Roman" w:cs="Times New Roman"/>
          <w:sz w:val="28"/>
          <w:szCs w:val="28"/>
        </w:rPr>
      </w:pPr>
      <w:r w:rsidRPr="00F3513E">
        <w:rPr>
          <w:rFonts w:ascii="Times New Roman" w:hAnsi="Times New Roman" w:cs="Times New Roman"/>
          <w:sz w:val="28"/>
          <w:szCs w:val="28"/>
        </w:rPr>
        <w:t>- более эффективно сотрудничать с администрациями их регионов;</w:t>
      </w:r>
    </w:p>
    <w:p w:rsidR="00211EEF" w:rsidRPr="00F3513E" w:rsidRDefault="00211EEF" w:rsidP="00F3513E">
      <w:pPr>
        <w:spacing w:after="0" w:line="240" w:lineRule="auto"/>
        <w:ind w:firstLine="709"/>
        <w:jc w:val="both"/>
        <w:rPr>
          <w:rFonts w:ascii="Times New Roman" w:hAnsi="Times New Roman" w:cs="Times New Roman"/>
          <w:sz w:val="28"/>
          <w:szCs w:val="28"/>
        </w:rPr>
      </w:pPr>
      <w:r w:rsidRPr="00F3513E">
        <w:rPr>
          <w:rFonts w:ascii="Times New Roman" w:hAnsi="Times New Roman" w:cs="Times New Roman"/>
          <w:sz w:val="28"/>
          <w:szCs w:val="28"/>
        </w:rPr>
        <w:t>- быстро и сильно улучшать обучение в системе «школа-колледж-вуз» по многим техническим, естественнонаучным и другим предметам;</w:t>
      </w:r>
    </w:p>
    <w:p w:rsidR="00211EEF" w:rsidRPr="00F3513E" w:rsidRDefault="00211EEF" w:rsidP="00F3513E">
      <w:pPr>
        <w:spacing w:after="0" w:line="240" w:lineRule="auto"/>
        <w:ind w:firstLine="709"/>
        <w:jc w:val="both"/>
        <w:rPr>
          <w:rFonts w:ascii="Times New Roman" w:hAnsi="Times New Roman" w:cs="Times New Roman"/>
          <w:sz w:val="28"/>
          <w:szCs w:val="28"/>
        </w:rPr>
      </w:pPr>
      <w:r w:rsidRPr="00F3513E">
        <w:rPr>
          <w:rFonts w:ascii="Times New Roman" w:hAnsi="Times New Roman" w:cs="Times New Roman"/>
          <w:sz w:val="28"/>
          <w:szCs w:val="28"/>
        </w:rPr>
        <w:t>-  улучшить сотрудничество ряда кафедр с очень многими школами.</w:t>
      </w:r>
    </w:p>
    <w:p w:rsidR="00211EEF" w:rsidRPr="00F3513E" w:rsidRDefault="00211EEF" w:rsidP="00F3513E">
      <w:pPr>
        <w:spacing w:after="0" w:line="240" w:lineRule="auto"/>
        <w:ind w:firstLine="709"/>
        <w:jc w:val="both"/>
        <w:rPr>
          <w:rFonts w:ascii="Times New Roman" w:hAnsi="Times New Roman" w:cs="Times New Roman"/>
          <w:sz w:val="28"/>
          <w:szCs w:val="28"/>
        </w:rPr>
      </w:pPr>
      <w:r w:rsidRPr="00F3513E">
        <w:rPr>
          <w:rFonts w:ascii="Times New Roman" w:hAnsi="Times New Roman" w:cs="Times New Roman"/>
          <w:sz w:val="28"/>
          <w:szCs w:val="28"/>
        </w:rPr>
        <w:t>Такое международное сотрудничество поможет решать проблемы:</w:t>
      </w:r>
    </w:p>
    <w:p w:rsidR="00211EEF" w:rsidRPr="00F3513E" w:rsidRDefault="00211EEF" w:rsidP="00F3513E">
      <w:pPr>
        <w:spacing w:after="0" w:line="240" w:lineRule="auto"/>
        <w:ind w:firstLine="709"/>
        <w:jc w:val="both"/>
        <w:rPr>
          <w:rFonts w:ascii="Times New Roman" w:hAnsi="Times New Roman" w:cs="Times New Roman"/>
          <w:sz w:val="28"/>
          <w:szCs w:val="28"/>
        </w:rPr>
      </w:pPr>
      <w:r w:rsidRPr="00F3513E">
        <w:rPr>
          <w:rFonts w:ascii="Times New Roman" w:hAnsi="Times New Roman" w:cs="Times New Roman"/>
          <w:sz w:val="28"/>
          <w:szCs w:val="28"/>
        </w:rPr>
        <w:t>- недостатка времени для углубленного изучения всеми обучаемыми большого количества учебного материала по многим дисциплинам, которые  нужны для повышения их конкурентоспособности и дальнейшей работы;</w:t>
      </w:r>
    </w:p>
    <w:p w:rsidR="00211EEF" w:rsidRPr="00F3513E" w:rsidRDefault="00211EEF" w:rsidP="00F3513E">
      <w:pPr>
        <w:spacing w:after="0" w:line="240" w:lineRule="auto"/>
        <w:ind w:firstLine="709"/>
        <w:jc w:val="both"/>
        <w:rPr>
          <w:rFonts w:ascii="Times New Roman" w:hAnsi="Times New Roman" w:cs="Times New Roman"/>
          <w:sz w:val="28"/>
          <w:szCs w:val="28"/>
        </w:rPr>
      </w:pPr>
      <w:r w:rsidRPr="00F3513E">
        <w:rPr>
          <w:rFonts w:ascii="Times New Roman" w:hAnsi="Times New Roman" w:cs="Times New Roman"/>
          <w:sz w:val="28"/>
          <w:szCs w:val="28"/>
        </w:rPr>
        <w:t>- невозможности обеспечить каждую учебную лабораторию во всех образовательных организациях огромным количеством учебных образцов;</w:t>
      </w:r>
    </w:p>
    <w:p w:rsidR="00211EEF" w:rsidRPr="00F3513E" w:rsidRDefault="00211EEF" w:rsidP="00F3513E">
      <w:pPr>
        <w:spacing w:after="0" w:line="240" w:lineRule="auto"/>
        <w:ind w:firstLine="709"/>
        <w:jc w:val="both"/>
        <w:rPr>
          <w:rFonts w:ascii="Times New Roman" w:hAnsi="Times New Roman" w:cs="Times New Roman"/>
          <w:sz w:val="28"/>
          <w:szCs w:val="28"/>
        </w:rPr>
      </w:pPr>
      <w:r w:rsidRPr="00F3513E">
        <w:rPr>
          <w:rFonts w:ascii="Times New Roman" w:hAnsi="Times New Roman" w:cs="Times New Roman"/>
          <w:sz w:val="28"/>
          <w:szCs w:val="28"/>
        </w:rPr>
        <w:t xml:space="preserve">- недостатка у многих преподавателей времени, а часто и желания и возможностей тратить много времени для изучения нового оборудования. </w:t>
      </w:r>
    </w:p>
    <w:p w:rsidR="00211EEF" w:rsidRPr="00F3513E" w:rsidRDefault="00211EEF" w:rsidP="00F3513E">
      <w:pPr>
        <w:spacing w:after="0" w:line="240" w:lineRule="auto"/>
        <w:ind w:firstLine="709"/>
        <w:jc w:val="both"/>
        <w:rPr>
          <w:rFonts w:ascii="Times New Roman" w:hAnsi="Times New Roman" w:cs="Times New Roman"/>
          <w:sz w:val="28"/>
          <w:szCs w:val="28"/>
        </w:rPr>
      </w:pPr>
      <w:r w:rsidRPr="00F3513E">
        <w:rPr>
          <w:rFonts w:ascii="Times New Roman" w:hAnsi="Times New Roman" w:cs="Times New Roman"/>
          <w:i/>
          <w:sz w:val="28"/>
          <w:szCs w:val="28"/>
        </w:rPr>
        <w:t>Новые возможности быстро улучшать обучение в регионах</w:t>
      </w:r>
      <w:r w:rsidR="00F3513E">
        <w:rPr>
          <w:rFonts w:ascii="Times New Roman" w:hAnsi="Times New Roman" w:cs="Times New Roman"/>
          <w:i/>
          <w:sz w:val="28"/>
          <w:szCs w:val="28"/>
        </w:rPr>
        <w:t xml:space="preserve">. </w:t>
      </w:r>
      <w:r w:rsidRPr="00F3513E">
        <w:rPr>
          <w:rFonts w:ascii="Times New Roman" w:hAnsi="Times New Roman" w:cs="Times New Roman"/>
          <w:sz w:val="28"/>
          <w:szCs w:val="28"/>
        </w:rPr>
        <w:t>Научно обоснована и подготовлена возможность для улучшения в регионах подготовки кадров и доходов и возможностей университетов, их кафедр и ведущих кадров на основе использования безотказных во всех странах методов улучшения сотрудничества с администрацией, которые используют самые знаменитые университеты России и ведущих стран [1-5]. Это самый перспективный способ для улучшения обучения в регионах, используя лучший мировой опыт и новые реальные возможности [1-6]: 1 – надежно обеспечить получение всеми участвующими в сотрудничестве факультетами и кафедрами бюджетных хоздоговоров на много лет; 2 – повысить результативность их учебной, научной и другой деятельности.</w:t>
      </w:r>
    </w:p>
    <w:p w:rsidR="00211EEF" w:rsidRPr="00F3513E" w:rsidRDefault="00211EEF" w:rsidP="00F3513E">
      <w:pPr>
        <w:spacing w:after="0" w:line="240" w:lineRule="auto"/>
        <w:ind w:firstLine="709"/>
        <w:jc w:val="both"/>
        <w:rPr>
          <w:rFonts w:ascii="Times New Roman" w:hAnsi="Times New Roman" w:cs="Times New Roman"/>
          <w:sz w:val="28"/>
          <w:szCs w:val="28"/>
        </w:rPr>
      </w:pPr>
      <w:r w:rsidRPr="00F3513E">
        <w:rPr>
          <w:rFonts w:ascii="Times New Roman" w:hAnsi="Times New Roman" w:cs="Times New Roman"/>
          <w:sz w:val="28"/>
          <w:szCs w:val="28"/>
        </w:rPr>
        <w:t xml:space="preserve">Использование таких уникальных возможностей быстро и даже без дополнительных расходов бюджетов обеспечит в любых регионах [1-5]: 1 – улучшение в школах и университетах изучения многих видов продукции (включая самую сложную) и методов ее правильного выбора и безопасного эффективного использования и многих новых достижений; 2 – улучшение сотрудничества университетов с администрацией их регионов и городов и </w:t>
      </w:r>
      <w:r w:rsidRPr="00F3513E">
        <w:rPr>
          <w:rFonts w:ascii="Times New Roman" w:hAnsi="Times New Roman" w:cs="Times New Roman"/>
          <w:sz w:val="28"/>
          <w:szCs w:val="28"/>
        </w:rPr>
        <w:lastRenderedPageBreak/>
        <w:t>с многими предприятиями и фирмами; 3 – более масштабное и выгодное участие экономических и ряда технических и естественнонаучных кафедр в региональных и других программах; 4 – повышение доходов от научных конференций и их результативности; 5 – улучшение внедрения многих лучших разработок преподавателей и методов обучения; 6 – создание для участвующих в сотрудничестве кафедр возможностей быстро и сильно улучшать обучение и законные доходы их ведущих кадров, которые пока есть только в самых знаменитых и процветающих университетах [1-5].</w:t>
      </w:r>
    </w:p>
    <w:p w:rsidR="00F3513E" w:rsidRDefault="00211EEF" w:rsidP="00F3513E">
      <w:pPr>
        <w:spacing w:after="0" w:line="240" w:lineRule="auto"/>
        <w:ind w:firstLine="709"/>
        <w:jc w:val="both"/>
        <w:rPr>
          <w:rFonts w:ascii="Times New Roman" w:hAnsi="Times New Roman" w:cs="Times New Roman"/>
          <w:i/>
          <w:sz w:val="28"/>
          <w:szCs w:val="28"/>
        </w:rPr>
      </w:pPr>
      <w:r w:rsidRPr="00F3513E">
        <w:rPr>
          <w:rFonts w:ascii="Times New Roman" w:hAnsi="Times New Roman" w:cs="Times New Roman"/>
          <w:i/>
          <w:sz w:val="28"/>
          <w:szCs w:val="28"/>
        </w:rPr>
        <w:t>Важнейшие преимущества международного сотрудничества</w:t>
      </w:r>
      <w:r w:rsidR="00F3513E">
        <w:rPr>
          <w:rFonts w:ascii="Times New Roman" w:hAnsi="Times New Roman" w:cs="Times New Roman"/>
          <w:i/>
          <w:sz w:val="28"/>
          <w:szCs w:val="28"/>
        </w:rPr>
        <w:t>.</w:t>
      </w:r>
    </w:p>
    <w:p w:rsidR="00211EEF" w:rsidRPr="00F3513E" w:rsidRDefault="00211EEF" w:rsidP="00F3513E">
      <w:pPr>
        <w:spacing w:after="0" w:line="240" w:lineRule="auto"/>
        <w:ind w:firstLine="709"/>
        <w:jc w:val="both"/>
        <w:rPr>
          <w:rFonts w:ascii="Times New Roman" w:hAnsi="Times New Roman" w:cs="Times New Roman"/>
          <w:sz w:val="28"/>
          <w:szCs w:val="28"/>
        </w:rPr>
      </w:pPr>
      <w:r w:rsidRPr="00F3513E">
        <w:rPr>
          <w:rFonts w:ascii="Times New Roman" w:hAnsi="Times New Roman" w:cs="Times New Roman"/>
          <w:sz w:val="28"/>
          <w:szCs w:val="28"/>
        </w:rPr>
        <w:t>1. Оно не требует никаких дополнительных затрат университетов и может быть быстро организовано в любых регионах России и Белоруссии.</w:t>
      </w:r>
    </w:p>
    <w:p w:rsidR="00F3513E" w:rsidRDefault="00211EEF" w:rsidP="00F3513E">
      <w:pPr>
        <w:spacing w:after="0" w:line="240" w:lineRule="auto"/>
        <w:ind w:firstLine="709"/>
        <w:jc w:val="both"/>
        <w:rPr>
          <w:rFonts w:ascii="Times New Roman" w:hAnsi="Times New Roman" w:cs="Times New Roman"/>
          <w:sz w:val="28"/>
          <w:szCs w:val="28"/>
        </w:rPr>
      </w:pPr>
      <w:r w:rsidRPr="00F3513E">
        <w:rPr>
          <w:rFonts w:ascii="Times New Roman" w:hAnsi="Times New Roman" w:cs="Times New Roman"/>
          <w:sz w:val="28"/>
          <w:szCs w:val="28"/>
        </w:rPr>
        <w:t xml:space="preserve">2. Быстрое совместное обеспечение (всего за несколько месяцев): </w:t>
      </w:r>
    </w:p>
    <w:p w:rsidR="00F3513E" w:rsidRDefault="00211EEF" w:rsidP="00F3513E">
      <w:pPr>
        <w:spacing w:after="0" w:line="240" w:lineRule="auto"/>
        <w:ind w:firstLine="709"/>
        <w:jc w:val="both"/>
        <w:rPr>
          <w:rFonts w:ascii="Times New Roman" w:hAnsi="Times New Roman" w:cs="Times New Roman"/>
          <w:sz w:val="28"/>
          <w:szCs w:val="28"/>
        </w:rPr>
      </w:pPr>
      <w:r w:rsidRPr="00F3513E">
        <w:rPr>
          <w:rFonts w:ascii="Times New Roman" w:hAnsi="Times New Roman" w:cs="Times New Roman"/>
          <w:sz w:val="28"/>
          <w:szCs w:val="28"/>
        </w:rPr>
        <w:t xml:space="preserve">1 – согласования и утверждения в любом регионе программы международного сотрудничества университета с администрацией его региона и города и с тульской фирмой (она будет поставлять уникальные портативные учебно-тренировочные комплексы [1, 6] и выполнять другие функции, нужные для успеха сотрудничества); </w:t>
      </w:r>
    </w:p>
    <w:p w:rsidR="00211EEF" w:rsidRPr="00F3513E" w:rsidRDefault="00211EEF" w:rsidP="00F3513E">
      <w:pPr>
        <w:spacing w:after="0" w:line="240" w:lineRule="auto"/>
        <w:ind w:firstLine="709"/>
        <w:jc w:val="both"/>
        <w:rPr>
          <w:rFonts w:ascii="Times New Roman" w:hAnsi="Times New Roman" w:cs="Times New Roman"/>
          <w:sz w:val="28"/>
          <w:szCs w:val="28"/>
        </w:rPr>
      </w:pPr>
      <w:r w:rsidRPr="00F3513E">
        <w:rPr>
          <w:rFonts w:ascii="Times New Roman" w:hAnsi="Times New Roman" w:cs="Times New Roman"/>
          <w:sz w:val="28"/>
          <w:szCs w:val="28"/>
        </w:rPr>
        <w:t>2 – разработки и утверждения (используя лучший мировой опыт и ряд документов, имеющихся у автора и разработанных под его научным и практическим руководством, которые ряд лет успешно применялись в городе Туле в интересах ТГПУ им. Л. Н. Толстого [1]).</w:t>
      </w:r>
    </w:p>
    <w:p w:rsidR="00211EEF" w:rsidRPr="00F3513E" w:rsidRDefault="00211EEF" w:rsidP="00F3513E">
      <w:pPr>
        <w:spacing w:after="0" w:line="240" w:lineRule="auto"/>
        <w:ind w:firstLine="709"/>
        <w:jc w:val="both"/>
        <w:rPr>
          <w:rFonts w:ascii="Times New Roman" w:hAnsi="Times New Roman" w:cs="Times New Roman"/>
          <w:sz w:val="28"/>
          <w:szCs w:val="28"/>
        </w:rPr>
      </w:pPr>
      <w:r w:rsidRPr="00F3513E">
        <w:rPr>
          <w:rFonts w:ascii="Times New Roman" w:hAnsi="Times New Roman" w:cs="Times New Roman"/>
          <w:sz w:val="28"/>
          <w:szCs w:val="28"/>
        </w:rPr>
        <w:t xml:space="preserve">3. Возможность постоянно получать деньги из бюджетов регионов за счет улучшения сотрудничества университетов с их администрацией [1-5]. </w:t>
      </w:r>
    </w:p>
    <w:p w:rsidR="00211EEF" w:rsidRPr="00F3513E" w:rsidRDefault="00211EEF" w:rsidP="00F3513E">
      <w:pPr>
        <w:spacing w:after="0" w:line="240" w:lineRule="auto"/>
        <w:ind w:firstLine="709"/>
        <w:jc w:val="both"/>
        <w:rPr>
          <w:rFonts w:ascii="Times New Roman" w:hAnsi="Times New Roman" w:cs="Times New Roman"/>
          <w:sz w:val="28"/>
          <w:szCs w:val="28"/>
        </w:rPr>
      </w:pPr>
      <w:r w:rsidRPr="00F3513E">
        <w:rPr>
          <w:rFonts w:ascii="Times New Roman" w:hAnsi="Times New Roman" w:cs="Times New Roman"/>
          <w:sz w:val="28"/>
          <w:szCs w:val="28"/>
        </w:rPr>
        <w:t>Это можно обеспечить безотказными методами [1-5], позволяющими:</w:t>
      </w:r>
    </w:p>
    <w:p w:rsidR="00211EEF" w:rsidRPr="00F3513E" w:rsidRDefault="00211EEF" w:rsidP="00F3513E">
      <w:pPr>
        <w:spacing w:after="0" w:line="240" w:lineRule="auto"/>
        <w:ind w:firstLine="709"/>
        <w:jc w:val="both"/>
        <w:rPr>
          <w:rFonts w:ascii="Times New Roman" w:hAnsi="Times New Roman" w:cs="Times New Roman"/>
          <w:sz w:val="28"/>
          <w:szCs w:val="28"/>
        </w:rPr>
      </w:pPr>
      <w:r w:rsidRPr="00F3513E">
        <w:rPr>
          <w:rFonts w:ascii="Times New Roman" w:hAnsi="Times New Roman" w:cs="Times New Roman"/>
          <w:sz w:val="28"/>
          <w:szCs w:val="28"/>
        </w:rPr>
        <w:t>- получать реальную поддержку органов управления образованием любого региона и города, в том числе и финансовую и организационную;</w:t>
      </w:r>
    </w:p>
    <w:p w:rsidR="00211EEF" w:rsidRPr="00F3513E" w:rsidRDefault="00211EEF" w:rsidP="00F3513E">
      <w:pPr>
        <w:spacing w:after="0" w:line="240" w:lineRule="auto"/>
        <w:ind w:firstLine="709"/>
        <w:jc w:val="both"/>
        <w:rPr>
          <w:rFonts w:ascii="Times New Roman" w:hAnsi="Times New Roman" w:cs="Times New Roman"/>
          <w:sz w:val="28"/>
          <w:szCs w:val="28"/>
        </w:rPr>
      </w:pPr>
      <w:r w:rsidRPr="00F3513E">
        <w:rPr>
          <w:rFonts w:ascii="Times New Roman" w:hAnsi="Times New Roman" w:cs="Times New Roman"/>
          <w:sz w:val="28"/>
          <w:szCs w:val="28"/>
        </w:rPr>
        <w:t>- всегда обеспечивать такое сотрудничество достаточными деньгами;</w:t>
      </w:r>
    </w:p>
    <w:p w:rsidR="00211EEF" w:rsidRPr="00F3513E" w:rsidRDefault="00211EEF" w:rsidP="00F3513E">
      <w:pPr>
        <w:spacing w:after="0" w:line="240" w:lineRule="auto"/>
        <w:ind w:firstLine="709"/>
        <w:jc w:val="both"/>
        <w:rPr>
          <w:rFonts w:ascii="Times New Roman" w:hAnsi="Times New Roman" w:cs="Times New Roman"/>
          <w:sz w:val="28"/>
          <w:szCs w:val="28"/>
        </w:rPr>
      </w:pPr>
      <w:r w:rsidRPr="00F3513E">
        <w:rPr>
          <w:rFonts w:ascii="Times New Roman" w:hAnsi="Times New Roman" w:cs="Times New Roman"/>
          <w:sz w:val="28"/>
          <w:szCs w:val="28"/>
        </w:rPr>
        <w:t>- привлекать к такому сотрудничеству многие ведущие кадры вузов;</w:t>
      </w:r>
    </w:p>
    <w:p w:rsidR="00211EEF" w:rsidRPr="00F3513E" w:rsidRDefault="00211EEF" w:rsidP="00F3513E">
      <w:pPr>
        <w:spacing w:after="0" w:line="240" w:lineRule="auto"/>
        <w:ind w:firstLine="709"/>
        <w:jc w:val="both"/>
        <w:rPr>
          <w:rFonts w:ascii="Times New Roman" w:hAnsi="Times New Roman" w:cs="Times New Roman"/>
          <w:sz w:val="28"/>
          <w:szCs w:val="28"/>
        </w:rPr>
      </w:pPr>
      <w:r w:rsidRPr="00F3513E">
        <w:rPr>
          <w:rFonts w:ascii="Times New Roman" w:hAnsi="Times New Roman" w:cs="Times New Roman"/>
          <w:sz w:val="28"/>
          <w:szCs w:val="28"/>
        </w:rPr>
        <w:t>- применять лучшие современные методы и средства обучения для улучшения обучения в школах (включая сельские и малокомплектные), эффективнее используя часть денег, имеющихся в бюджетах регионов [1-5].</w:t>
      </w:r>
    </w:p>
    <w:p w:rsidR="00211EEF" w:rsidRPr="00F3513E" w:rsidRDefault="00211EEF" w:rsidP="00F3513E">
      <w:pPr>
        <w:spacing w:after="0" w:line="240" w:lineRule="auto"/>
        <w:ind w:firstLine="709"/>
        <w:jc w:val="both"/>
        <w:rPr>
          <w:rFonts w:ascii="Times New Roman" w:hAnsi="Times New Roman" w:cs="Times New Roman"/>
          <w:sz w:val="28"/>
          <w:szCs w:val="28"/>
        </w:rPr>
      </w:pPr>
      <w:r w:rsidRPr="00F3513E">
        <w:rPr>
          <w:rFonts w:ascii="Times New Roman" w:hAnsi="Times New Roman" w:cs="Times New Roman"/>
          <w:sz w:val="28"/>
          <w:szCs w:val="28"/>
        </w:rPr>
        <w:t xml:space="preserve">Организация этого многостороннего международного сотрудничества для быстрого обеспечения постоянного получения участвующими в нем университетами дополнительных бюджетных и внебюджетных доходов [1-5] может быть очень полезна университетам России и Белоруссии, так как: </w:t>
      </w:r>
    </w:p>
    <w:p w:rsidR="00211EEF" w:rsidRPr="00F3513E" w:rsidRDefault="00211EEF" w:rsidP="00F3513E">
      <w:pPr>
        <w:spacing w:after="0" w:line="240" w:lineRule="auto"/>
        <w:ind w:firstLine="709"/>
        <w:jc w:val="both"/>
        <w:rPr>
          <w:rFonts w:ascii="Times New Roman" w:hAnsi="Times New Roman" w:cs="Times New Roman"/>
          <w:sz w:val="28"/>
          <w:szCs w:val="28"/>
        </w:rPr>
      </w:pPr>
      <w:r w:rsidRPr="00F3513E">
        <w:rPr>
          <w:rFonts w:ascii="Times New Roman" w:hAnsi="Times New Roman" w:cs="Times New Roman"/>
          <w:sz w:val="28"/>
          <w:szCs w:val="28"/>
        </w:rPr>
        <w:t xml:space="preserve">1 – главный источник их финансирования – это государственный бюджет, поэтому увеличивать такое финансирование бывает очень трудно; </w:t>
      </w:r>
    </w:p>
    <w:p w:rsidR="00211EEF" w:rsidRPr="00F3513E" w:rsidRDefault="00211EEF" w:rsidP="00F3513E">
      <w:pPr>
        <w:spacing w:after="0" w:line="240" w:lineRule="auto"/>
        <w:ind w:firstLine="709"/>
        <w:jc w:val="both"/>
        <w:rPr>
          <w:rFonts w:ascii="Times New Roman" w:hAnsi="Times New Roman" w:cs="Times New Roman"/>
          <w:sz w:val="28"/>
          <w:szCs w:val="28"/>
        </w:rPr>
      </w:pPr>
      <w:r w:rsidRPr="00F3513E">
        <w:rPr>
          <w:rFonts w:ascii="Times New Roman" w:hAnsi="Times New Roman" w:cs="Times New Roman"/>
          <w:sz w:val="28"/>
          <w:szCs w:val="28"/>
        </w:rPr>
        <w:t>2 – университеты не получают много денег из бюджетов их регионов.</w:t>
      </w:r>
    </w:p>
    <w:p w:rsidR="00211EEF" w:rsidRPr="00F3513E" w:rsidRDefault="00211EEF" w:rsidP="00F3513E">
      <w:pPr>
        <w:spacing w:after="0" w:line="240" w:lineRule="auto"/>
        <w:ind w:firstLine="709"/>
        <w:jc w:val="both"/>
        <w:rPr>
          <w:rFonts w:ascii="Times New Roman" w:hAnsi="Times New Roman" w:cs="Times New Roman"/>
          <w:sz w:val="28"/>
          <w:szCs w:val="28"/>
        </w:rPr>
      </w:pPr>
      <w:r w:rsidRPr="00F3513E">
        <w:rPr>
          <w:rFonts w:ascii="Times New Roman" w:hAnsi="Times New Roman" w:cs="Times New Roman"/>
          <w:sz w:val="28"/>
          <w:szCs w:val="28"/>
        </w:rPr>
        <w:lastRenderedPageBreak/>
        <w:t>Ведь правильное совместное использование лучшего опыта самых знаменитых университетов, уже успешно применявшихся в городе Туле документов и наших разработок, опыта и «ноу-хау» [1-6] поможет быстро успешно обеспечить без дополнительных затрат университета выполнение трех главных условий, необходимых для реализации данной программы многостороннего международного сотрудничества: 1 – ее достаточное и стабильное финансирование; 2 – мотивацию и возможности для участия в ней ведущих кадров; 3 – ее реальную поддержку органами управления.</w:t>
      </w:r>
    </w:p>
    <w:p w:rsidR="00211EEF" w:rsidRPr="00F3513E" w:rsidRDefault="00211EEF" w:rsidP="00F3513E">
      <w:pPr>
        <w:spacing w:after="0" w:line="240" w:lineRule="auto"/>
        <w:ind w:firstLine="709"/>
        <w:jc w:val="both"/>
        <w:rPr>
          <w:rFonts w:ascii="Times New Roman" w:hAnsi="Times New Roman" w:cs="Times New Roman"/>
          <w:sz w:val="28"/>
          <w:szCs w:val="28"/>
        </w:rPr>
      </w:pPr>
      <w:r w:rsidRPr="00F3513E">
        <w:rPr>
          <w:rFonts w:ascii="Times New Roman" w:hAnsi="Times New Roman" w:cs="Times New Roman"/>
          <w:sz w:val="28"/>
          <w:szCs w:val="28"/>
        </w:rPr>
        <w:t>Это сотрудничество может создать для факультетов и кафедр за счет многостороннего «рамочного» договора о сотрудничестве [5] возможности:</w:t>
      </w:r>
    </w:p>
    <w:p w:rsidR="00211EEF" w:rsidRPr="00F3513E" w:rsidRDefault="00211EEF" w:rsidP="00F3513E">
      <w:pPr>
        <w:spacing w:after="0" w:line="240" w:lineRule="auto"/>
        <w:ind w:firstLine="709"/>
        <w:jc w:val="both"/>
        <w:rPr>
          <w:rFonts w:ascii="Times New Roman" w:hAnsi="Times New Roman" w:cs="Times New Roman"/>
          <w:sz w:val="28"/>
          <w:szCs w:val="28"/>
        </w:rPr>
      </w:pPr>
      <w:r w:rsidRPr="00F3513E">
        <w:rPr>
          <w:rFonts w:ascii="Times New Roman" w:hAnsi="Times New Roman" w:cs="Times New Roman"/>
          <w:sz w:val="28"/>
          <w:szCs w:val="28"/>
        </w:rPr>
        <w:t>- получать бюджетные хоздоговоры с администрацией регионов много лет, участвуя в региональных и государственных программах;</w:t>
      </w:r>
    </w:p>
    <w:p w:rsidR="00211EEF" w:rsidRPr="00F3513E" w:rsidRDefault="00211EEF" w:rsidP="00F3513E">
      <w:pPr>
        <w:spacing w:after="0" w:line="240" w:lineRule="auto"/>
        <w:ind w:firstLine="709"/>
        <w:jc w:val="both"/>
        <w:rPr>
          <w:rFonts w:ascii="Times New Roman" w:hAnsi="Times New Roman" w:cs="Times New Roman"/>
          <w:sz w:val="28"/>
          <w:szCs w:val="28"/>
        </w:rPr>
      </w:pPr>
      <w:r w:rsidRPr="00F3513E">
        <w:rPr>
          <w:rFonts w:ascii="Times New Roman" w:hAnsi="Times New Roman" w:cs="Times New Roman"/>
          <w:sz w:val="28"/>
          <w:szCs w:val="28"/>
        </w:rPr>
        <w:t>- улучшать подготовку кадров для различных отраслей экономики не только при их обучении в вузах, но и лучше используя возможности школ;</w:t>
      </w:r>
    </w:p>
    <w:p w:rsidR="00211EEF" w:rsidRPr="00F3513E" w:rsidRDefault="00211EEF" w:rsidP="00F3513E">
      <w:pPr>
        <w:spacing w:after="0" w:line="240" w:lineRule="auto"/>
        <w:ind w:firstLine="709"/>
        <w:jc w:val="both"/>
        <w:rPr>
          <w:rFonts w:ascii="Times New Roman" w:hAnsi="Times New Roman" w:cs="Times New Roman"/>
          <w:sz w:val="28"/>
          <w:szCs w:val="28"/>
        </w:rPr>
      </w:pPr>
      <w:r w:rsidRPr="00F3513E">
        <w:rPr>
          <w:rFonts w:ascii="Times New Roman" w:hAnsi="Times New Roman" w:cs="Times New Roman"/>
          <w:sz w:val="28"/>
          <w:szCs w:val="28"/>
        </w:rPr>
        <w:t>- улучшить обучение по ряду технических и других предметов.</w:t>
      </w:r>
    </w:p>
    <w:p w:rsidR="00211EEF" w:rsidRPr="00F3513E" w:rsidRDefault="00211EEF" w:rsidP="00F3513E">
      <w:pPr>
        <w:spacing w:after="0" w:line="240" w:lineRule="auto"/>
        <w:ind w:firstLine="709"/>
        <w:jc w:val="both"/>
        <w:rPr>
          <w:rFonts w:ascii="Times New Roman" w:hAnsi="Times New Roman" w:cs="Times New Roman"/>
          <w:sz w:val="28"/>
          <w:szCs w:val="28"/>
        </w:rPr>
      </w:pPr>
      <w:r w:rsidRPr="00605128">
        <w:rPr>
          <w:rFonts w:ascii="Times New Roman" w:hAnsi="Times New Roman" w:cs="Times New Roman"/>
          <w:i/>
          <w:sz w:val="28"/>
          <w:szCs w:val="28"/>
        </w:rPr>
        <w:t>Уникальные возможности для финансирования сотрудничества</w:t>
      </w:r>
      <w:r w:rsidR="00605128">
        <w:rPr>
          <w:rFonts w:ascii="Times New Roman" w:hAnsi="Times New Roman" w:cs="Times New Roman"/>
          <w:i/>
          <w:sz w:val="28"/>
          <w:szCs w:val="28"/>
        </w:rPr>
        <w:t xml:space="preserve">. </w:t>
      </w:r>
      <w:r w:rsidRPr="00F3513E">
        <w:rPr>
          <w:rFonts w:ascii="Times New Roman" w:hAnsi="Times New Roman" w:cs="Times New Roman"/>
          <w:sz w:val="28"/>
          <w:szCs w:val="28"/>
        </w:rPr>
        <w:t>Использование лучшего опыта самых знаменитых университетов России, Великобритании и США по получению огромных дополнительных денег для создания уникальных возможностей для улучшения обучения на ряде факультетов и кафедр и доходов их ведущих кадров на основе более выгодного сотрудничества с администрацией их регионов – это лучший способ улучшать ситуацию даже при любом бюджетном дефиците [1-5].</w:t>
      </w:r>
    </w:p>
    <w:p w:rsidR="00211EEF" w:rsidRPr="00F3513E" w:rsidRDefault="00211EEF" w:rsidP="00F3513E">
      <w:pPr>
        <w:spacing w:after="0" w:line="240" w:lineRule="auto"/>
        <w:ind w:firstLine="709"/>
        <w:jc w:val="both"/>
        <w:rPr>
          <w:rFonts w:ascii="Times New Roman" w:hAnsi="Times New Roman" w:cs="Times New Roman"/>
          <w:sz w:val="28"/>
          <w:szCs w:val="28"/>
        </w:rPr>
      </w:pPr>
      <w:r w:rsidRPr="00F3513E">
        <w:rPr>
          <w:rFonts w:ascii="Times New Roman" w:hAnsi="Times New Roman" w:cs="Times New Roman"/>
          <w:sz w:val="28"/>
          <w:szCs w:val="28"/>
        </w:rPr>
        <w:t>Это обеспечит быстрое исправление парадоксальной ситуации, при которой вузы готовят кадры для разных отраслей экономики их регионов, но почти не получают дополнительных денег из их бюджетов, так как:</w:t>
      </w:r>
    </w:p>
    <w:p w:rsidR="00211EEF" w:rsidRPr="00F3513E" w:rsidRDefault="00211EEF" w:rsidP="00F3513E">
      <w:pPr>
        <w:spacing w:after="0" w:line="240" w:lineRule="auto"/>
        <w:ind w:firstLine="709"/>
        <w:jc w:val="both"/>
        <w:rPr>
          <w:rFonts w:ascii="Times New Roman" w:hAnsi="Times New Roman" w:cs="Times New Roman"/>
          <w:sz w:val="28"/>
          <w:szCs w:val="28"/>
        </w:rPr>
      </w:pPr>
      <w:r w:rsidRPr="00F3513E">
        <w:rPr>
          <w:rFonts w:ascii="Times New Roman" w:hAnsi="Times New Roman" w:cs="Times New Roman"/>
          <w:sz w:val="28"/>
          <w:szCs w:val="28"/>
        </w:rPr>
        <w:t>1 – гуманитарные и фундаментальные исследования университетов обычно очень мало финансируются администрацией их регионов;</w:t>
      </w:r>
    </w:p>
    <w:p w:rsidR="00211EEF" w:rsidRPr="00F3513E" w:rsidRDefault="00211EEF" w:rsidP="00F3513E">
      <w:pPr>
        <w:spacing w:after="0" w:line="240" w:lineRule="auto"/>
        <w:ind w:firstLine="709"/>
        <w:jc w:val="both"/>
        <w:rPr>
          <w:rFonts w:ascii="Times New Roman" w:hAnsi="Times New Roman" w:cs="Times New Roman"/>
          <w:sz w:val="28"/>
          <w:szCs w:val="28"/>
        </w:rPr>
      </w:pPr>
      <w:r w:rsidRPr="00F3513E">
        <w:rPr>
          <w:rFonts w:ascii="Times New Roman" w:hAnsi="Times New Roman" w:cs="Times New Roman"/>
          <w:sz w:val="28"/>
          <w:szCs w:val="28"/>
        </w:rPr>
        <w:t>2 – факультетам и кафедрам трудно предложить администрации исследования, которые она будет постоянно финансировать много лет.</w:t>
      </w:r>
    </w:p>
    <w:p w:rsidR="00211EEF" w:rsidRPr="00F3513E" w:rsidRDefault="00211EEF" w:rsidP="00F3513E">
      <w:pPr>
        <w:spacing w:after="0" w:line="240" w:lineRule="auto"/>
        <w:ind w:firstLine="709"/>
        <w:jc w:val="both"/>
        <w:rPr>
          <w:rFonts w:ascii="Times New Roman" w:hAnsi="Times New Roman" w:cs="Times New Roman"/>
          <w:sz w:val="28"/>
          <w:szCs w:val="28"/>
        </w:rPr>
      </w:pPr>
      <w:r w:rsidRPr="00F3513E">
        <w:rPr>
          <w:rFonts w:ascii="Times New Roman" w:hAnsi="Times New Roman" w:cs="Times New Roman"/>
          <w:sz w:val="28"/>
          <w:szCs w:val="28"/>
        </w:rPr>
        <w:t>Это обеспечит финансирование этого сотрудничества многие годы за счет лучшего использования возможностей вузов и администрации [1-5] и комплексного подхода к решению важных для администрации проблем.</w:t>
      </w:r>
    </w:p>
    <w:p w:rsidR="00211EEF" w:rsidRPr="00F3513E" w:rsidRDefault="00211EEF" w:rsidP="00F3513E">
      <w:pPr>
        <w:spacing w:after="0" w:line="240" w:lineRule="auto"/>
        <w:ind w:firstLine="709"/>
        <w:jc w:val="both"/>
        <w:rPr>
          <w:rFonts w:ascii="Times New Roman" w:hAnsi="Times New Roman" w:cs="Times New Roman"/>
          <w:sz w:val="28"/>
          <w:szCs w:val="28"/>
        </w:rPr>
      </w:pPr>
      <w:r w:rsidRPr="00605128">
        <w:rPr>
          <w:rFonts w:ascii="Times New Roman" w:hAnsi="Times New Roman" w:cs="Times New Roman"/>
          <w:i/>
          <w:sz w:val="28"/>
          <w:szCs w:val="28"/>
        </w:rPr>
        <w:t xml:space="preserve">Заключение. </w:t>
      </w:r>
      <w:r w:rsidRPr="00F3513E">
        <w:rPr>
          <w:rFonts w:ascii="Times New Roman" w:hAnsi="Times New Roman" w:cs="Times New Roman"/>
          <w:sz w:val="28"/>
          <w:szCs w:val="28"/>
        </w:rPr>
        <w:t>Использование региональными университетами новых уникальных возможностей быстро и значительно улучшить сотрудничество с администрацией их регионов и региональных центров [1-5] для получения с использованием лучшего мирового опыта дополнительных бюджетных и внебюджетных денег – это лучший способ улучшать обучение на многих их факультетах и кафедрах и доходы их ведущих кадров и их развитие.</w:t>
      </w:r>
    </w:p>
    <w:p w:rsidR="00211EEF" w:rsidRPr="00F3513E" w:rsidRDefault="00211EEF" w:rsidP="00F3513E">
      <w:pPr>
        <w:spacing w:after="0" w:line="240" w:lineRule="auto"/>
        <w:ind w:firstLine="709"/>
        <w:jc w:val="both"/>
        <w:rPr>
          <w:rFonts w:ascii="Times New Roman" w:hAnsi="Times New Roman" w:cs="Times New Roman"/>
          <w:sz w:val="28"/>
          <w:szCs w:val="28"/>
        </w:rPr>
      </w:pPr>
      <w:r w:rsidRPr="00F3513E">
        <w:rPr>
          <w:rFonts w:ascii="Times New Roman" w:hAnsi="Times New Roman" w:cs="Times New Roman"/>
          <w:sz w:val="28"/>
          <w:szCs w:val="28"/>
        </w:rPr>
        <w:t xml:space="preserve">Очень большую степень нашей готовности к такому уникальному по возможностям многостороннему международному сотрудничеству [1-5] подтверждают: 1 – пять дипломов </w:t>
      </w:r>
      <w:r w:rsidRPr="00F3513E">
        <w:rPr>
          <w:rFonts w:ascii="Times New Roman" w:hAnsi="Times New Roman" w:cs="Times New Roman"/>
          <w:sz w:val="28"/>
          <w:szCs w:val="28"/>
          <w:lang w:val="en-US"/>
        </w:rPr>
        <w:t>I</w:t>
      </w:r>
      <w:r w:rsidRPr="00F3513E">
        <w:rPr>
          <w:rFonts w:ascii="Times New Roman" w:hAnsi="Times New Roman" w:cs="Times New Roman"/>
          <w:sz w:val="28"/>
          <w:szCs w:val="28"/>
        </w:rPr>
        <w:t xml:space="preserve">, </w:t>
      </w:r>
      <w:r w:rsidRPr="00F3513E">
        <w:rPr>
          <w:rFonts w:ascii="Times New Roman" w:hAnsi="Times New Roman" w:cs="Times New Roman"/>
          <w:sz w:val="28"/>
          <w:szCs w:val="28"/>
          <w:lang w:val="en-US"/>
        </w:rPr>
        <w:t>II</w:t>
      </w:r>
      <w:r w:rsidRPr="00F3513E">
        <w:rPr>
          <w:rFonts w:ascii="Times New Roman" w:hAnsi="Times New Roman" w:cs="Times New Roman"/>
          <w:sz w:val="28"/>
          <w:szCs w:val="28"/>
        </w:rPr>
        <w:t xml:space="preserve"> и </w:t>
      </w:r>
      <w:r w:rsidRPr="00F3513E">
        <w:rPr>
          <w:rFonts w:ascii="Times New Roman" w:hAnsi="Times New Roman" w:cs="Times New Roman"/>
          <w:sz w:val="28"/>
          <w:szCs w:val="28"/>
          <w:lang w:val="en-US"/>
        </w:rPr>
        <w:t>III</w:t>
      </w:r>
      <w:r w:rsidRPr="00F3513E">
        <w:rPr>
          <w:rFonts w:ascii="Times New Roman" w:hAnsi="Times New Roman" w:cs="Times New Roman"/>
          <w:sz w:val="28"/>
          <w:szCs w:val="28"/>
        </w:rPr>
        <w:t xml:space="preserve"> степени, полученных автором </w:t>
      </w:r>
      <w:r w:rsidRPr="00F3513E">
        <w:rPr>
          <w:rFonts w:ascii="Times New Roman" w:hAnsi="Times New Roman" w:cs="Times New Roman"/>
          <w:sz w:val="28"/>
          <w:szCs w:val="28"/>
        </w:rPr>
        <w:lastRenderedPageBreak/>
        <w:t>на четырех конкурсах «Выставка педагогических инноваций» в Ишимском педагогическом институте Тюменского государственного университета в 2023, 2024, 2025 и 2026 году [1]; 2 – более 100 наших научных статей и докладов на научных конференциях в России, Белоруссии и Узбекистане.</w:t>
      </w:r>
    </w:p>
    <w:p w:rsidR="00605128" w:rsidRDefault="00605128" w:rsidP="00F3513E">
      <w:pPr>
        <w:shd w:val="clear" w:color="auto" w:fill="FFFFFF"/>
        <w:spacing w:after="0" w:line="240" w:lineRule="auto"/>
        <w:jc w:val="center"/>
        <w:rPr>
          <w:rFonts w:ascii="Times New Roman" w:hAnsi="Times New Roman" w:cs="Times New Roman"/>
          <w:b/>
          <w:sz w:val="28"/>
          <w:szCs w:val="28"/>
        </w:rPr>
      </w:pPr>
    </w:p>
    <w:p w:rsidR="00211EEF" w:rsidRPr="00F3513E" w:rsidRDefault="00211EEF" w:rsidP="00F3513E">
      <w:pPr>
        <w:shd w:val="clear" w:color="auto" w:fill="FFFFFF"/>
        <w:spacing w:after="0" w:line="240" w:lineRule="auto"/>
        <w:jc w:val="center"/>
        <w:rPr>
          <w:rFonts w:ascii="Times New Roman" w:hAnsi="Times New Roman" w:cs="Times New Roman"/>
          <w:b/>
          <w:sz w:val="28"/>
          <w:szCs w:val="28"/>
        </w:rPr>
      </w:pPr>
      <w:r w:rsidRPr="00F3513E">
        <w:rPr>
          <w:rFonts w:ascii="Times New Roman" w:hAnsi="Times New Roman" w:cs="Times New Roman"/>
          <w:b/>
          <w:sz w:val="28"/>
          <w:szCs w:val="28"/>
        </w:rPr>
        <w:t>Список литературы</w:t>
      </w:r>
    </w:p>
    <w:p w:rsidR="00211EEF" w:rsidRPr="00B644BF" w:rsidRDefault="00211EEF" w:rsidP="00F3513E">
      <w:pPr>
        <w:pStyle w:val="a9"/>
        <w:shd w:val="clear" w:color="auto" w:fill="FFFFFF"/>
        <w:spacing w:before="0" w:beforeAutospacing="0" w:after="0" w:afterAutospacing="0"/>
        <w:ind w:firstLine="709"/>
        <w:jc w:val="both"/>
        <w:rPr>
          <w:lang w:val="ru-RU"/>
        </w:rPr>
      </w:pPr>
      <w:r w:rsidRPr="00B644BF">
        <w:rPr>
          <w:lang w:val="ru-RU"/>
        </w:rPr>
        <w:t xml:space="preserve">1. Радченко, С. А. Способ улучшать обучение технологии и безопасности жизнедеятельности и профориентацию, используя опыт знаменитых университетов и хоздоговоры кафедр / С. А. Радченко // Технолого-экономическое образование: достижения, инновации, перспективы. Материалы </w:t>
      </w:r>
      <w:r w:rsidRPr="00B644BF">
        <w:t>XXI</w:t>
      </w:r>
      <w:r w:rsidRPr="00B644BF">
        <w:rPr>
          <w:lang w:val="ru-RU"/>
        </w:rPr>
        <w:t xml:space="preserve"> Всеросс. научно-практич. конф. с междунар. участием. – Тула : Изд-во ТГПУ им. Л. Н. Толстого, 2025. – С. 259-268.</w:t>
      </w:r>
    </w:p>
    <w:p w:rsidR="00211EEF" w:rsidRPr="00B644BF" w:rsidRDefault="00211EEF" w:rsidP="00F3513E">
      <w:pPr>
        <w:spacing w:after="0" w:line="240" w:lineRule="auto"/>
        <w:ind w:firstLine="709"/>
        <w:jc w:val="both"/>
        <w:rPr>
          <w:rFonts w:ascii="Times New Roman" w:hAnsi="Times New Roman" w:cs="Times New Roman"/>
          <w:sz w:val="24"/>
          <w:szCs w:val="24"/>
        </w:rPr>
      </w:pPr>
      <w:r w:rsidRPr="00B644BF">
        <w:rPr>
          <w:rFonts w:ascii="Times New Roman" w:hAnsi="Times New Roman" w:cs="Times New Roman"/>
          <w:sz w:val="24"/>
          <w:szCs w:val="24"/>
        </w:rPr>
        <w:t>2. Радченко, С. А.</w:t>
      </w:r>
      <w:r w:rsidRPr="00B644BF">
        <w:rPr>
          <w:rFonts w:ascii="Times New Roman" w:hAnsi="Times New Roman" w:cs="Times New Roman"/>
          <w:i/>
          <w:sz w:val="24"/>
          <w:szCs w:val="24"/>
        </w:rPr>
        <w:t xml:space="preserve"> </w:t>
      </w:r>
      <w:r w:rsidRPr="00B644BF">
        <w:rPr>
          <w:rFonts w:ascii="Times New Roman" w:hAnsi="Times New Roman" w:cs="Times New Roman"/>
          <w:sz w:val="24"/>
          <w:szCs w:val="24"/>
        </w:rPr>
        <w:t>Лучший мировой опыт решения проблем обучения и экономики в регионах и самый реальный способ быстро использовать его на основе международного сотрудничества и уникальных хоздоговоров для экономических и технических кафедр вузов / С. А. Радченко, С. С. Радченко</w:t>
      </w:r>
      <w:r w:rsidRPr="00B644BF">
        <w:rPr>
          <w:rFonts w:ascii="Times New Roman" w:hAnsi="Times New Roman" w:cs="Times New Roman"/>
        </w:rPr>
        <w:t xml:space="preserve"> </w:t>
      </w:r>
      <w:r w:rsidRPr="00B644BF">
        <w:rPr>
          <w:rFonts w:ascii="Times New Roman" w:hAnsi="Times New Roman" w:cs="Times New Roman"/>
          <w:sz w:val="24"/>
          <w:szCs w:val="24"/>
        </w:rPr>
        <w:t>// Актуальные проблемы современных экономических систем – 2025: сборник научных трудов. – Брест : Изд-во БрГТУ, 2025. – С. 37-46.</w:t>
      </w:r>
    </w:p>
    <w:p w:rsidR="00211EEF" w:rsidRPr="00B644BF" w:rsidRDefault="00211EEF" w:rsidP="00F3513E">
      <w:pPr>
        <w:pStyle w:val="a9"/>
        <w:shd w:val="clear" w:color="auto" w:fill="FFFFFF"/>
        <w:spacing w:before="0" w:beforeAutospacing="0" w:after="0" w:afterAutospacing="0"/>
        <w:ind w:firstLine="709"/>
        <w:jc w:val="both"/>
        <w:rPr>
          <w:lang w:val="ru-RU"/>
        </w:rPr>
      </w:pPr>
      <w:r w:rsidRPr="00B644BF">
        <w:rPr>
          <w:lang w:val="ru-RU"/>
        </w:rPr>
        <w:t xml:space="preserve">3. Радченко, С. А. Многостороннее международное сотрудничество – лучший способ быстро использовать мировой опыт улучшения обучения и уникальные хоздоговоры / С. А. Радченко // Педагогическое образование в условиях трансформационных процессов: обеспечение преемственности и непрерывности подготовки: Материалы </w:t>
      </w:r>
      <w:r w:rsidRPr="00B644BF">
        <w:t>XI</w:t>
      </w:r>
      <w:r w:rsidRPr="00B644BF">
        <w:rPr>
          <w:lang w:val="ru-RU"/>
        </w:rPr>
        <w:t xml:space="preserve"> междунар. научно-практич. конф. – Минск : БГПУ им. М. Танка, 2026. – С. 351-354.</w:t>
      </w:r>
    </w:p>
    <w:p w:rsidR="00211EEF" w:rsidRPr="00B644BF" w:rsidRDefault="00211EEF" w:rsidP="00F3513E">
      <w:pPr>
        <w:pStyle w:val="a9"/>
        <w:shd w:val="clear" w:color="auto" w:fill="FFFFFF"/>
        <w:spacing w:before="0" w:beforeAutospacing="0" w:after="0" w:afterAutospacing="0"/>
        <w:ind w:firstLine="709"/>
        <w:jc w:val="both"/>
        <w:rPr>
          <w:lang w:val="ru-RU"/>
        </w:rPr>
      </w:pPr>
      <w:r w:rsidRPr="00B644BF">
        <w:rPr>
          <w:lang w:val="ru-RU"/>
        </w:rPr>
        <w:t xml:space="preserve">4. Радченко, С. А. Международное сотрудничество – лучший способ эффективного внедрения в вузах и школах образовательных технологий нового поколения / С. А. Радченко // Педагогическая наука и образование: сохраняя прошлое – создаем будущее : материалы Междунар. научно-практич. форума, посвящ. 110-летию БГПУ, г. Минск, 21 ноября 2024 г. – Минск : БГПУ им. М. Танка, 2025. – С. 424–427. </w:t>
      </w:r>
    </w:p>
    <w:p w:rsidR="00211EEF" w:rsidRPr="00B644BF" w:rsidRDefault="00211EEF" w:rsidP="00F3513E">
      <w:pPr>
        <w:pStyle w:val="a9"/>
        <w:shd w:val="clear" w:color="auto" w:fill="FFFFFF"/>
        <w:spacing w:before="0" w:beforeAutospacing="0" w:after="0" w:afterAutospacing="0"/>
        <w:ind w:firstLine="709"/>
        <w:jc w:val="both"/>
        <w:rPr>
          <w:lang w:val="ru-RU"/>
        </w:rPr>
      </w:pPr>
      <w:r w:rsidRPr="00B644BF">
        <w:rPr>
          <w:lang w:val="ru-RU"/>
        </w:rPr>
        <w:t xml:space="preserve">5. Радченко, С. А. Многосторонние договора о сотрудничестве – самый быстрый, реальный и малозатратный способ улучшить обучение технологии и доходы вузов и их ведущих кадров, используя лучший мировой опыт / С. А. Радченко // Физико-математическое и технологическое образование: проблемы и перспективы развития. Материалы </w:t>
      </w:r>
      <w:r w:rsidRPr="00B644BF">
        <w:t>IX</w:t>
      </w:r>
      <w:r w:rsidRPr="00B644BF">
        <w:rPr>
          <w:lang w:val="ru-RU"/>
        </w:rPr>
        <w:t xml:space="preserve"> Междунар. научно-методич. конф. – М. : МПГУ, 2023. – С. 215-220.</w:t>
      </w:r>
    </w:p>
    <w:p w:rsidR="00211EEF" w:rsidRPr="00B644BF" w:rsidRDefault="00211EEF" w:rsidP="00F3513E">
      <w:pPr>
        <w:spacing w:after="0" w:line="240" w:lineRule="auto"/>
        <w:ind w:firstLine="709"/>
        <w:jc w:val="both"/>
        <w:rPr>
          <w:rFonts w:ascii="Times New Roman" w:hAnsi="Times New Roman" w:cs="Times New Roman"/>
          <w:sz w:val="24"/>
          <w:szCs w:val="24"/>
        </w:rPr>
      </w:pPr>
      <w:r w:rsidRPr="00B644BF">
        <w:rPr>
          <w:rFonts w:ascii="Times New Roman" w:hAnsi="Times New Roman" w:cs="Times New Roman"/>
          <w:sz w:val="24"/>
          <w:szCs w:val="24"/>
        </w:rPr>
        <w:t>6. Радченко, С. А. Портативный учебно-тренировочный комплекс для быстрого улучшения обучения, доходов вузов и их ведущих кадров и межрегионального сотрудничества / С. А. Радченко, С. С. Радченко // Проблемы и перспективы технологического образования в России и за рубежом: электронный сборник материалов VI Междунар. научно-практич. конф. – Ишим : ИПИ им. П. П. Ершова (фил.) ФГАОУ ВО «ТюмГУ», 2024. – С. 96-103.</w:t>
      </w:r>
    </w:p>
    <w:p w:rsidR="00605128" w:rsidRDefault="00605128" w:rsidP="00211EEF">
      <w:pPr>
        <w:spacing w:after="0" w:line="240" w:lineRule="auto"/>
        <w:jc w:val="center"/>
        <w:rPr>
          <w:rFonts w:ascii="Times New Roman" w:hAnsi="Times New Roman" w:cs="Times New Roman"/>
          <w:b/>
          <w:sz w:val="28"/>
          <w:szCs w:val="24"/>
          <w:lang w:val="be-BY"/>
        </w:rPr>
      </w:pPr>
    </w:p>
    <w:p w:rsidR="00211EEF" w:rsidRPr="00B644BF" w:rsidRDefault="00211EEF" w:rsidP="00211EEF">
      <w:pPr>
        <w:spacing w:after="0" w:line="240" w:lineRule="auto"/>
        <w:jc w:val="center"/>
        <w:rPr>
          <w:rFonts w:ascii="Times New Roman" w:hAnsi="Times New Roman" w:cs="Times New Roman"/>
          <w:b/>
          <w:sz w:val="28"/>
          <w:szCs w:val="24"/>
          <w:lang w:val="be-BY"/>
        </w:rPr>
      </w:pPr>
      <w:r w:rsidRPr="00B644BF">
        <w:rPr>
          <w:rFonts w:ascii="Times New Roman" w:hAnsi="Times New Roman" w:cs="Times New Roman"/>
          <w:b/>
          <w:sz w:val="28"/>
          <w:szCs w:val="24"/>
          <w:lang w:val="be-BY"/>
        </w:rPr>
        <w:t>ИСТОРИКО-ПРАВОВОЙ АНАЛИЗ УСТАВА КОММУНИСТИЧЕСКОЙ ПАРТИИ БЕЛАРУСИ (В РЕДАКЦИИ 2023 ГОДА)</w:t>
      </w:r>
    </w:p>
    <w:p w:rsidR="00211EEF" w:rsidRPr="00B644BF" w:rsidRDefault="00211EEF" w:rsidP="00211EEF">
      <w:pPr>
        <w:spacing w:after="0" w:line="240" w:lineRule="auto"/>
        <w:ind w:firstLine="709"/>
        <w:jc w:val="center"/>
        <w:rPr>
          <w:rFonts w:ascii="Times New Roman" w:hAnsi="Times New Roman" w:cs="Times New Roman"/>
          <w:b/>
          <w:sz w:val="28"/>
          <w:szCs w:val="24"/>
          <w:lang w:val="be-BY"/>
        </w:rPr>
      </w:pPr>
    </w:p>
    <w:p w:rsidR="00211EEF" w:rsidRPr="00B644BF" w:rsidRDefault="00211EEF" w:rsidP="00211EEF">
      <w:pPr>
        <w:spacing w:after="0" w:line="240" w:lineRule="auto"/>
        <w:ind w:firstLine="709"/>
        <w:jc w:val="center"/>
        <w:rPr>
          <w:rFonts w:ascii="Times New Roman" w:hAnsi="Times New Roman" w:cs="Times New Roman"/>
          <w:b/>
          <w:sz w:val="28"/>
          <w:szCs w:val="24"/>
          <w:lang w:val="be-BY"/>
        </w:rPr>
      </w:pPr>
      <w:r w:rsidRPr="00B644BF">
        <w:rPr>
          <w:rFonts w:ascii="Times New Roman" w:hAnsi="Times New Roman" w:cs="Times New Roman"/>
          <w:b/>
          <w:sz w:val="28"/>
          <w:szCs w:val="24"/>
          <w:lang w:val="be-BY"/>
        </w:rPr>
        <w:t>Селедцова Ирина Витальевна</w:t>
      </w:r>
    </w:p>
    <w:p w:rsidR="00211EEF" w:rsidRPr="00B644BF" w:rsidRDefault="00211EEF" w:rsidP="00211EEF">
      <w:pPr>
        <w:spacing w:after="0" w:line="240" w:lineRule="auto"/>
        <w:ind w:firstLine="709"/>
        <w:jc w:val="center"/>
        <w:rPr>
          <w:rFonts w:ascii="Times New Roman" w:hAnsi="Times New Roman" w:cs="Times New Roman"/>
          <w:sz w:val="28"/>
          <w:szCs w:val="24"/>
          <w:lang w:val="be-BY"/>
        </w:rPr>
      </w:pPr>
      <w:r w:rsidRPr="00B644BF">
        <w:rPr>
          <w:rFonts w:ascii="Times New Roman" w:hAnsi="Times New Roman" w:cs="Times New Roman"/>
          <w:sz w:val="28"/>
          <w:szCs w:val="24"/>
          <w:lang w:val="be-BY"/>
        </w:rPr>
        <w:t>старший преподаватель кафедры юриспруденции</w:t>
      </w:r>
    </w:p>
    <w:p w:rsidR="00211EEF" w:rsidRPr="00B644BF" w:rsidRDefault="00211EEF" w:rsidP="00211EEF">
      <w:pPr>
        <w:spacing w:after="0" w:line="240" w:lineRule="auto"/>
        <w:ind w:firstLine="709"/>
        <w:jc w:val="center"/>
        <w:rPr>
          <w:rFonts w:ascii="Times New Roman" w:hAnsi="Times New Roman" w:cs="Times New Roman"/>
          <w:sz w:val="28"/>
          <w:szCs w:val="24"/>
        </w:rPr>
      </w:pPr>
      <w:r w:rsidRPr="00B644BF">
        <w:rPr>
          <w:rFonts w:ascii="Times New Roman" w:hAnsi="Times New Roman" w:cs="Times New Roman"/>
          <w:sz w:val="28"/>
          <w:szCs w:val="24"/>
          <w:lang w:val="be-BY"/>
        </w:rPr>
        <w:lastRenderedPageBreak/>
        <w:t xml:space="preserve">учреждения образования </w:t>
      </w:r>
      <w:r w:rsidRPr="00B644BF">
        <w:rPr>
          <w:rFonts w:ascii="Times New Roman" w:hAnsi="Times New Roman" w:cs="Times New Roman"/>
          <w:sz w:val="28"/>
          <w:szCs w:val="24"/>
        </w:rPr>
        <w:t>«Могилевский государственный университет имени А.А. Кулешова»</w:t>
      </w:r>
    </w:p>
    <w:p w:rsidR="00211EEF" w:rsidRPr="00B644BF" w:rsidRDefault="00211EEF" w:rsidP="00211EEF">
      <w:pPr>
        <w:spacing w:after="0" w:line="240" w:lineRule="auto"/>
        <w:ind w:firstLine="709"/>
        <w:jc w:val="center"/>
        <w:rPr>
          <w:rFonts w:ascii="Times New Roman" w:hAnsi="Times New Roman" w:cs="Times New Roman"/>
          <w:sz w:val="28"/>
          <w:szCs w:val="24"/>
        </w:rPr>
      </w:pPr>
      <w:r w:rsidRPr="00B644BF">
        <w:rPr>
          <w:rFonts w:ascii="Times New Roman" w:hAnsi="Times New Roman" w:cs="Times New Roman"/>
          <w:sz w:val="28"/>
          <w:szCs w:val="24"/>
          <w:lang w:val="en-US"/>
        </w:rPr>
        <w:t>ir</w:t>
      </w:r>
      <w:r w:rsidRPr="00B644BF">
        <w:rPr>
          <w:rFonts w:ascii="Times New Roman" w:hAnsi="Times New Roman" w:cs="Times New Roman"/>
          <w:sz w:val="28"/>
          <w:szCs w:val="24"/>
        </w:rPr>
        <w:t>.</w:t>
      </w:r>
      <w:r w:rsidRPr="00B644BF">
        <w:rPr>
          <w:rFonts w:ascii="Times New Roman" w:hAnsi="Times New Roman" w:cs="Times New Roman"/>
          <w:sz w:val="28"/>
          <w:szCs w:val="24"/>
          <w:lang w:val="en-US"/>
        </w:rPr>
        <w:t>crawchenko</w:t>
      </w:r>
      <w:r w:rsidRPr="00B644BF">
        <w:rPr>
          <w:rFonts w:ascii="Times New Roman" w:hAnsi="Times New Roman" w:cs="Times New Roman"/>
          <w:sz w:val="28"/>
          <w:szCs w:val="24"/>
        </w:rPr>
        <w:t>2011@</w:t>
      </w:r>
      <w:r w:rsidRPr="00B644BF">
        <w:rPr>
          <w:rFonts w:ascii="Times New Roman" w:hAnsi="Times New Roman" w:cs="Times New Roman"/>
          <w:sz w:val="28"/>
          <w:szCs w:val="24"/>
          <w:lang w:val="en-US"/>
        </w:rPr>
        <w:t>yandex</w:t>
      </w:r>
      <w:r w:rsidRPr="00B644BF">
        <w:rPr>
          <w:rFonts w:ascii="Times New Roman" w:hAnsi="Times New Roman" w:cs="Times New Roman"/>
          <w:sz w:val="28"/>
          <w:szCs w:val="24"/>
        </w:rPr>
        <w:t>.</w:t>
      </w:r>
      <w:r w:rsidRPr="00B644BF">
        <w:rPr>
          <w:rFonts w:ascii="Times New Roman" w:hAnsi="Times New Roman" w:cs="Times New Roman"/>
          <w:sz w:val="28"/>
          <w:szCs w:val="24"/>
          <w:lang w:val="en-US"/>
        </w:rPr>
        <w:t>ru</w:t>
      </w:r>
    </w:p>
    <w:p w:rsidR="00211EEF" w:rsidRPr="00B644BF" w:rsidRDefault="00211EEF" w:rsidP="00211EEF">
      <w:pPr>
        <w:spacing w:after="0" w:line="240" w:lineRule="auto"/>
        <w:ind w:firstLine="709"/>
        <w:jc w:val="center"/>
        <w:rPr>
          <w:rFonts w:ascii="Times New Roman" w:hAnsi="Times New Roman" w:cs="Times New Roman"/>
          <w:sz w:val="28"/>
          <w:szCs w:val="24"/>
        </w:rPr>
      </w:pPr>
    </w:p>
    <w:p w:rsidR="00211EEF" w:rsidRPr="00B644BF" w:rsidRDefault="00211EEF" w:rsidP="00211EEF">
      <w:pPr>
        <w:spacing w:after="0" w:line="240" w:lineRule="auto"/>
        <w:ind w:firstLine="709"/>
        <w:jc w:val="both"/>
        <w:rPr>
          <w:rFonts w:ascii="Times New Roman" w:hAnsi="Times New Roman" w:cs="Times New Roman"/>
          <w:i/>
          <w:sz w:val="24"/>
          <w:szCs w:val="24"/>
        </w:rPr>
      </w:pPr>
      <w:r w:rsidRPr="00B644BF">
        <w:rPr>
          <w:rFonts w:ascii="Times New Roman" w:hAnsi="Times New Roman" w:cs="Times New Roman"/>
          <w:b/>
          <w:sz w:val="24"/>
          <w:szCs w:val="24"/>
        </w:rPr>
        <w:t xml:space="preserve">Аннотация. </w:t>
      </w:r>
      <w:r w:rsidRPr="00B644BF">
        <w:rPr>
          <w:rFonts w:ascii="Times New Roman" w:hAnsi="Times New Roman" w:cs="Times New Roman"/>
          <w:sz w:val="24"/>
          <w:szCs w:val="24"/>
        </w:rPr>
        <w:t>О</w:t>
      </w:r>
      <w:r w:rsidRPr="00B644BF">
        <w:rPr>
          <w:rFonts w:ascii="Times New Roman" w:hAnsi="Times New Roman" w:cs="Times New Roman"/>
          <w:sz w:val="24"/>
          <w:szCs w:val="24"/>
          <w:lang w:val="be-BY"/>
        </w:rPr>
        <w:t>сновным документом, регламентирующим внутреннюю жизнь Коммунистической партии Беларуси, определяющим права и обязанности членов партии, организационные принципы и методы практической деятельности, является устав. Историко-правовой анализ действующей редакции Устава Коммунистической партии Беларуси необходим для определения организационно-правовых основ ее деятельности.</w:t>
      </w:r>
    </w:p>
    <w:p w:rsidR="00211EEF" w:rsidRPr="00B644BF" w:rsidRDefault="00211EEF" w:rsidP="00211EEF">
      <w:pPr>
        <w:spacing w:after="0" w:line="240" w:lineRule="auto"/>
        <w:ind w:firstLine="709"/>
        <w:jc w:val="both"/>
        <w:rPr>
          <w:rFonts w:ascii="Times New Roman" w:hAnsi="Times New Roman" w:cs="Times New Roman"/>
          <w:sz w:val="24"/>
          <w:szCs w:val="24"/>
        </w:rPr>
      </w:pPr>
      <w:r w:rsidRPr="00B644BF">
        <w:rPr>
          <w:rFonts w:ascii="Times New Roman" w:hAnsi="Times New Roman" w:cs="Times New Roman"/>
          <w:b/>
          <w:sz w:val="24"/>
          <w:szCs w:val="24"/>
        </w:rPr>
        <w:t xml:space="preserve">Ключевые слова. </w:t>
      </w:r>
      <w:r w:rsidRPr="00B644BF">
        <w:rPr>
          <w:rFonts w:ascii="Times New Roman" w:hAnsi="Times New Roman" w:cs="Times New Roman"/>
          <w:sz w:val="24"/>
          <w:szCs w:val="24"/>
        </w:rPr>
        <w:t>Коммунистическая партия Беларуси, Устав, политическая партия, процедура перерегистрации, партийная система.</w:t>
      </w:r>
    </w:p>
    <w:p w:rsidR="00211EEF" w:rsidRPr="00B644BF" w:rsidRDefault="00211EEF" w:rsidP="00211EEF">
      <w:pPr>
        <w:spacing w:after="0" w:line="240" w:lineRule="auto"/>
        <w:ind w:firstLine="709"/>
        <w:jc w:val="both"/>
        <w:rPr>
          <w:rFonts w:ascii="Times New Roman" w:hAnsi="Times New Roman" w:cs="Times New Roman"/>
          <w:sz w:val="28"/>
          <w:szCs w:val="24"/>
        </w:rPr>
      </w:pPr>
    </w:p>
    <w:p w:rsidR="00211EEF" w:rsidRPr="00B644BF" w:rsidRDefault="00211EEF" w:rsidP="00211EEF">
      <w:pPr>
        <w:spacing w:after="0" w:line="240" w:lineRule="auto"/>
        <w:ind w:firstLine="709"/>
        <w:jc w:val="both"/>
        <w:rPr>
          <w:rFonts w:ascii="Times New Roman" w:hAnsi="Times New Roman" w:cs="Times New Roman"/>
          <w:sz w:val="28"/>
          <w:szCs w:val="24"/>
        </w:rPr>
      </w:pPr>
      <w:r w:rsidRPr="00B644BF">
        <w:rPr>
          <w:rFonts w:ascii="Times New Roman" w:hAnsi="Times New Roman" w:cs="Times New Roman"/>
          <w:sz w:val="28"/>
          <w:szCs w:val="24"/>
        </w:rPr>
        <w:t>Устав относится к основным видам утверждаемых нормативных правовых актов. В соответствии со статьей 21 Закона Республики Беларусь «О нормативных правовых актах», положение (устав) – это нормативный правовой акт, определяющий статус государственного органа (организации) либо порядок осуществления деятельности в определенной сфере общественных отношений [</w:t>
      </w:r>
      <w:r w:rsidRPr="00B644BF">
        <w:rPr>
          <w:rFonts w:ascii="Times New Roman" w:hAnsi="Times New Roman" w:cs="Times New Roman"/>
          <w:sz w:val="28"/>
          <w:szCs w:val="24"/>
          <w:lang w:val="be-BY"/>
        </w:rPr>
        <w:t>1</w:t>
      </w:r>
      <w:r w:rsidRPr="00B644BF">
        <w:rPr>
          <w:rFonts w:ascii="Times New Roman" w:hAnsi="Times New Roman" w:cs="Times New Roman"/>
          <w:sz w:val="28"/>
          <w:szCs w:val="24"/>
        </w:rPr>
        <w:t>]. Исходя из содержания статьи 11 Закона Республики Беларусь «О политических партиях», устав является учредительным документом политической партии [</w:t>
      </w:r>
      <w:r w:rsidRPr="00B644BF">
        <w:rPr>
          <w:rFonts w:ascii="Times New Roman" w:hAnsi="Times New Roman" w:cs="Times New Roman"/>
          <w:sz w:val="28"/>
          <w:szCs w:val="24"/>
          <w:lang w:val="be-BY"/>
        </w:rPr>
        <w:t>2</w:t>
      </w:r>
      <w:r w:rsidRPr="00B644BF">
        <w:rPr>
          <w:rFonts w:ascii="Times New Roman" w:hAnsi="Times New Roman" w:cs="Times New Roman"/>
          <w:sz w:val="28"/>
          <w:szCs w:val="24"/>
        </w:rPr>
        <w:t>].</w:t>
      </w:r>
    </w:p>
    <w:p w:rsidR="00211EEF" w:rsidRPr="00B644BF" w:rsidRDefault="00211EEF" w:rsidP="00211EEF">
      <w:pPr>
        <w:spacing w:after="0" w:line="240" w:lineRule="auto"/>
        <w:ind w:firstLine="709"/>
        <w:jc w:val="both"/>
        <w:rPr>
          <w:rFonts w:ascii="Times New Roman" w:hAnsi="Times New Roman" w:cs="Times New Roman"/>
          <w:sz w:val="28"/>
          <w:szCs w:val="24"/>
          <w:lang w:val="be-BY"/>
        </w:rPr>
      </w:pPr>
      <w:r w:rsidRPr="00B644BF">
        <w:rPr>
          <w:rFonts w:ascii="Times New Roman" w:hAnsi="Times New Roman" w:cs="Times New Roman"/>
          <w:sz w:val="28"/>
          <w:szCs w:val="24"/>
          <w:lang w:val="be-BY"/>
        </w:rPr>
        <w:t xml:space="preserve">Новации Закона Республики Беларусь </w:t>
      </w:r>
      <w:r w:rsidRPr="00B644BF">
        <w:rPr>
          <w:rFonts w:ascii="Times New Roman" w:hAnsi="Times New Roman" w:cs="Times New Roman"/>
          <w:sz w:val="28"/>
          <w:szCs w:val="24"/>
        </w:rPr>
        <w:t>«О политических партиях», вступившие в силу 14 февраля 2023 г., ознаменовали начало процедуры перерегистрации политических партий в стране. Для Коммунистической партии Беларуси (далее – КПБ) одним из условий успешного прохождения данной процедуры являлось внесение изменений или принятие новой редакции учредительного документа</w:t>
      </w:r>
      <w:r w:rsidRPr="00B644BF">
        <w:rPr>
          <w:rFonts w:ascii="Times New Roman" w:hAnsi="Times New Roman" w:cs="Times New Roman"/>
          <w:sz w:val="28"/>
          <w:szCs w:val="24"/>
          <w:lang w:val="be-BY"/>
        </w:rPr>
        <w:t xml:space="preserve"> </w:t>
      </w:r>
      <w:r w:rsidRPr="00B644BF">
        <w:rPr>
          <w:rFonts w:ascii="Times New Roman" w:hAnsi="Times New Roman" w:cs="Times New Roman"/>
          <w:sz w:val="28"/>
          <w:szCs w:val="24"/>
        </w:rPr>
        <w:t>– устава политической партии. Первый секретарь ЦК КПБ А.Н. Сокол отмечал: «Новая редакция Устава КПБ является сильным и современным документом, который позволит нам безболезненно пройти процедуру перерегистрации и дальше работать во благо нашей страны. Мы провели съезд, где утвердили изменения и дополнения в новый Устав компартии с учетом действующего законодательства о политических партиях и общественных объединениях» [</w:t>
      </w:r>
      <w:r w:rsidRPr="00B644BF">
        <w:rPr>
          <w:rFonts w:ascii="Times New Roman" w:hAnsi="Times New Roman" w:cs="Times New Roman"/>
          <w:sz w:val="28"/>
          <w:szCs w:val="24"/>
          <w:lang w:val="be-BY"/>
        </w:rPr>
        <w:t>3</w:t>
      </w:r>
      <w:r w:rsidRPr="00B644BF">
        <w:rPr>
          <w:rFonts w:ascii="Times New Roman" w:hAnsi="Times New Roman" w:cs="Times New Roman"/>
          <w:sz w:val="28"/>
          <w:szCs w:val="24"/>
        </w:rPr>
        <w:t>]</w:t>
      </w:r>
      <w:r w:rsidRPr="00B644BF">
        <w:rPr>
          <w:rFonts w:ascii="Times New Roman" w:hAnsi="Times New Roman" w:cs="Times New Roman"/>
          <w:sz w:val="28"/>
          <w:szCs w:val="24"/>
          <w:lang w:val="be-BY"/>
        </w:rPr>
        <w:t xml:space="preserve">. Проект Устава КПБ, предложенный Пленумом, с одной стороны, </w:t>
      </w:r>
      <w:r w:rsidRPr="00B644BF">
        <w:rPr>
          <w:rFonts w:ascii="Times New Roman" w:hAnsi="Times New Roman" w:cs="Times New Roman"/>
          <w:sz w:val="28"/>
          <w:szCs w:val="24"/>
        </w:rPr>
        <w:t>обеспечивал</w:t>
      </w:r>
      <w:r w:rsidRPr="00B644BF">
        <w:rPr>
          <w:rFonts w:ascii="Times New Roman" w:hAnsi="Times New Roman" w:cs="Times New Roman"/>
          <w:sz w:val="28"/>
          <w:szCs w:val="24"/>
          <w:lang w:val="be-BY"/>
        </w:rPr>
        <w:t xml:space="preserve"> четкое структурирование учредительного документа, с другой стороны – детально регламентировал вопросы партитйной жизни. Действующая редакция Устава была принята </w:t>
      </w:r>
      <w:r w:rsidRPr="00B644BF">
        <w:rPr>
          <w:rFonts w:ascii="Times New Roman" w:hAnsi="Times New Roman" w:cs="Times New Roman"/>
          <w:sz w:val="28"/>
          <w:szCs w:val="24"/>
          <w:lang w:val="en-US"/>
        </w:rPr>
        <w:t>XIV</w:t>
      </w:r>
      <w:r w:rsidRPr="00B644BF">
        <w:rPr>
          <w:rFonts w:ascii="Times New Roman" w:hAnsi="Times New Roman" w:cs="Times New Roman"/>
          <w:sz w:val="28"/>
          <w:szCs w:val="24"/>
        </w:rPr>
        <w:t xml:space="preserve"> съездом КПБ 21 апреля 2023 г. Структура Устава в действующей редакции включает 7 разделов, состоящих из пунктов и подпунктов.</w:t>
      </w:r>
    </w:p>
    <w:p w:rsidR="00211EEF" w:rsidRPr="00B644BF" w:rsidRDefault="00211EEF" w:rsidP="00211EEF">
      <w:pPr>
        <w:spacing w:after="0" w:line="240" w:lineRule="auto"/>
        <w:ind w:firstLine="709"/>
        <w:jc w:val="both"/>
        <w:rPr>
          <w:rFonts w:ascii="Times New Roman" w:hAnsi="Times New Roman" w:cs="Times New Roman"/>
          <w:sz w:val="28"/>
          <w:szCs w:val="24"/>
        </w:rPr>
      </w:pPr>
      <w:r w:rsidRPr="00B644BF">
        <w:rPr>
          <w:rFonts w:ascii="Times New Roman" w:hAnsi="Times New Roman" w:cs="Times New Roman"/>
          <w:sz w:val="28"/>
          <w:szCs w:val="24"/>
        </w:rPr>
        <w:t xml:space="preserve">В первом разделе изложены общие положения: в нем подчеркнута преемственность партии КПСС-КПБ, ее пролетарский характер, и вместе с тем партия обозначает себя как активного участника политической, социально-экономической и культурной жизни страны, а также международного коммунистического сообщества. Раздел содержит полное </w:t>
      </w:r>
      <w:r w:rsidRPr="00B644BF">
        <w:rPr>
          <w:rFonts w:ascii="Times New Roman" w:hAnsi="Times New Roman" w:cs="Times New Roman"/>
          <w:sz w:val="28"/>
          <w:szCs w:val="24"/>
        </w:rPr>
        <w:lastRenderedPageBreak/>
        <w:t>название и аббревиатуру партии на государственных языках Республики Беларусь, указание юридического адреса, а также порядок организации делопроизводства [4].</w:t>
      </w:r>
    </w:p>
    <w:p w:rsidR="00211EEF" w:rsidRPr="00B644BF" w:rsidRDefault="00211EEF" w:rsidP="00211EEF">
      <w:pPr>
        <w:spacing w:after="0" w:line="240" w:lineRule="auto"/>
        <w:ind w:firstLine="709"/>
        <w:jc w:val="both"/>
        <w:rPr>
          <w:rFonts w:ascii="Times New Roman" w:hAnsi="Times New Roman" w:cs="Times New Roman"/>
          <w:sz w:val="28"/>
          <w:szCs w:val="24"/>
        </w:rPr>
      </w:pPr>
      <w:r w:rsidRPr="00B644BF">
        <w:rPr>
          <w:rFonts w:ascii="Times New Roman" w:hAnsi="Times New Roman" w:cs="Times New Roman"/>
          <w:sz w:val="28"/>
          <w:szCs w:val="24"/>
          <w:lang w:val="be-BY"/>
        </w:rPr>
        <w:t xml:space="preserve">Во втором разделе Устава КПБ </w:t>
      </w:r>
      <w:r w:rsidRPr="00B644BF">
        <w:rPr>
          <w:rFonts w:ascii="Times New Roman" w:hAnsi="Times New Roman" w:cs="Times New Roman"/>
          <w:sz w:val="28"/>
          <w:szCs w:val="24"/>
        </w:rPr>
        <w:t>закреплены цели (п. 2.1), задачи (п. 2.2), методы (п. 2.3) и предмет деятельности партии (п. 2.4). Наряду с традиционными для КПБ целями, в Уставе закреплено обеспечение незыблемости конституционного строя и гражданского согласия, независимости и суверенитета Республики Беларусь, обеспечение социальной справедливости [4]. Достижение целей осуществляется путем реализации двух задач:</w:t>
      </w:r>
    </w:p>
    <w:p w:rsidR="00211EEF" w:rsidRPr="00B644BF" w:rsidRDefault="00211EEF" w:rsidP="00211EEF">
      <w:pPr>
        <w:spacing w:after="0" w:line="240" w:lineRule="auto"/>
        <w:ind w:firstLine="709"/>
        <w:jc w:val="both"/>
        <w:rPr>
          <w:rFonts w:ascii="Times New Roman" w:hAnsi="Times New Roman" w:cs="Times New Roman"/>
          <w:sz w:val="28"/>
        </w:rPr>
      </w:pPr>
      <w:r w:rsidRPr="00B644BF">
        <w:rPr>
          <w:rFonts w:ascii="Times New Roman" w:hAnsi="Times New Roman" w:cs="Times New Roman"/>
          <w:sz w:val="28"/>
        </w:rPr>
        <w:t>- активное участие в политической жизни общества, содействие выявлению и выражению политической воли граждан, участие в выборах и референдумах для обеспечения подлинного народовластия в Республике Беларусь;</w:t>
      </w:r>
    </w:p>
    <w:p w:rsidR="00211EEF" w:rsidRPr="00B644BF" w:rsidRDefault="00211EEF" w:rsidP="00211EEF">
      <w:pPr>
        <w:spacing w:after="0" w:line="240" w:lineRule="auto"/>
        <w:ind w:firstLine="709"/>
        <w:jc w:val="both"/>
        <w:rPr>
          <w:rFonts w:ascii="Times New Roman" w:hAnsi="Times New Roman" w:cs="Times New Roman"/>
          <w:sz w:val="28"/>
        </w:rPr>
      </w:pPr>
      <w:r w:rsidRPr="00B644BF">
        <w:rPr>
          <w:rFonts w:ascii="Times New Roman" w:hAnsi="Times New Roman" w:cs="Times New Roman"/>
          <w:sz w:val="28"/>
        </w:rPr>
        <w:t>- политическое просвещение граждан, внедрение в общественное сознание коммунистической идеологии, патриотизма и пролетарского интернационализма [4].</w:t>
      </w:r>
    </w:p>
    <w:p w:rsidR="00211EEF" w:rsidRPr="00B644BF" w:rsidRDefault="00211EEF" w:rsidP="00211EEF">
      <w:pPr>
        <w:spacing w:after="0" w:line="240" w:lineRule="auto"/>
        <w:ind w:firstLine="709"/>
        <w:jc w:val="both"/>
        <w:rPr>
          <w:rFonts w:ascii="Times New Roman" w:hAnsi="Times New Roman" w:cs="Times New Roman"/>
          <w:sz w:val="28"/>
        </w:rPr>
      </w:pPr>
      <w:r w:rsidRPr="00B644BF">
        <w:rPr>
          <w:rFonts w:ascii="Times New Roman" w:hAnsi="Times New Roman" w:cs="Times New Roman"/>
          <w:sz w:val="28"/>
          <w:szCs w:val="24"/>
        </w:rPr>
        <w:t xml:space="preserve">В качестве предмета деятельности сформулировано формирование у граждан стойкого доверия к партии, </w:t>
      </w:r>
      <w:r w:rsidRPr="00B644BF">
        <w:rPr>
          <w:rFonts w:ascii="Times New Roman" w:hAnsi="Times New Roman" w:cs="Times New Roman"/>
          <w:sz w:val="28"/>
        </w:rPr>
        <w:t>содействие выражению их политической воли во время выборов и референдумов в ходе реализации политических программных положений КПБ, а также иная практическая работа по реализации уставных целей и задач [4].</w:t>
      </w:r>
    </w:p>
    <w:p w:rsidR="00211EEF" w:rsidRPr="00B644BF" w:rsidRDefault="00211EEF" w:rsidP="00211EEF">
      <w:pPr>
        <w:spacing w:after="0" w:line="240" w:lineRule="auto"/>
        <w:ind w:firstLine="709"/>
        <w:jc w:val="both"/>
        <w:rPr>
          <w:rFonts w:ascii="Times New Roman" w:hAnsi="Times New Roman" w:cs="Times New Roman"/>
          <w:sz w:val="28"/>
        </w:rPr>
      </w:pPr>
      <w:r w:rsidRPr="00B644BF">
        <w:rPr>
          <w:rFonts w:ascii="Times New Roman" w:hAnsi="Times New Roman" w:cs="Times New Roman"/>
          <w:sz w:val="28"/>
        </w:rPr>
        <w:t>Третий раздел Устава посвящен принципам деятельности КПБ. Расширенное толкование, как и в предыдущих редакциях, дано принципу демократического централизма (п. 3.2 Устава). Работа парторганизаций и выборных органов КПБ должна строиться на началах коллективности, исключающей субъективизм и единовластие. Решения, касающиеся стратегии и тактики партии принимаются после обсуждения и одобрения первичными парторганизациями. В целом, теоретическое содержание третьего раздела Устава совпадало с идеями, содержавшимися в редакции Устава КПБ 2006 г. [5].</w:t>
      </w:r>
    </w:p>
    <w:p w:rsidR="00211EEF" w:rsidRPr="00B644BF" w:rsidRDefault="00211EEF" w:rsidP="00211EEF">
      <w:pPr>
        <w:spacing w:after="0" w:line="240" w:lineRule="auto"/>
        <w:ind w:firstLine="709"/>
        <w:jc w:val="both"/>
        <w:rPr>
          <w:rFonts w:ascii="Times New Roman" w:hAnsi="Times New Roman" w:cs="Times New Roman"/>
          <w:sz w:val="28"/>
          <w:szCs w:val="24"/>
        </w:rPr>
      </w:pPr>
      <w:r w:rsidRPr="00B644BF">
        <w:rPr>
          <w:rFonts w:ascii="Times New Roman" w:hAnsi="Times New Roman" w:cs="Times New Roman"/>
          <w:sz w:val="28"/>
          <w:szCs w:val="24"/>
        </w:rPr>
        <w:t xml:space="preserve">Четвертый раздел Устава КПБ регламентирует порядок членства в партии. Впервые была закреплена норма о фиксированном членстве в партии, а также изменены требования, предъявляемые к члену партии: помимо традиционных – дееспособность, гражданство, достижение возраста 18 лет, признание Устава и Программы КПБ, выполнение партийных решений, участие в одной из первичных организаций и уплата партийных взносов – было добавлено требование о постоянном проживании на территории Республики Беларусь. Права и обязанности членов партии изложены в п. 4.2 и п. 4.3 Устава соответственно. Решение о приеме в члены партии принимается на собрании первичной парторганизации на основании заявления и рекомендаций двух членов КПБ (с партийным стажем не менее одного года (ранее – не менее трех </w:t>
      </w:r>
      <w:r w:rsidRPr="00B644BF">
        <w:rPr>
          <w:rFonts w:ascii="Times New Roman" w:hAnsi="Times New Roman" w:cs="Times New Roman"/>
          <w:sz w:val="28"/>
          <w:szCs w:val="24"/>
        </w:rPr>
        <w:lastRenderedPageBreak/>
        <w:t xml:space="preserve">лет). Новым в тексте раздела Устава является приравнивание рекомендации члена КПБ и рекомендаций районного, городского, областного или Центрального Комитета ОО «Лига коммунистической молодежи». Предусмотрена возможность повторного вступления в партию, но не раньше, чем через год после выхода или исключения из партии </w:t>
      </w:r>
      <w:r w:rsidRPr="00B644BF">
        <w:rPr>
          <w:rFonts w:ascii="Times New Roman" w:hAnsi="Times New Roman" w:cs="Times New Roman"/>
          <w:sz w:val="28"/>
        </w:rPr>
        <w:t>[4]</w:t>
      </w:r>
      <w:r w:rsidRPr="00B644BF">
        <w:rPr>
          <w:rFonts w:ascii="Times New Roman" w:hAnsi="Times New Roman" w:cs="Times New Roman"/>
          <w:sz w:val="28"/>
          <w:szCs w:val="24"/>
        </w:rPr>
        <w:t>.</w:t>
      </w:r>
    </w:p>
    <w:p w:rsidR="00211EEF" w:rsidRPr="00B644BF" w:rsidRDefault="00211EEF" w:rsidP="00211EEF">
      <w:pPr>
        <w:spacing w:after="0" w:line="240" w:lineRule="auto"/>
        <w:ind w:firstLine="709"/>
        <w:jc w:val="both"/>
        <w:rPr>
          <w:rFonts w:ascii="Times New Roman" w:hAnsi="Times New Roman" w:cs="Times New Roman"/>
          <w:sz w:val="28"/>
          <w:szCs w:val="24"/>
        </w:rPr>
      </w:pPr>
      <w:r w:rsidRPr="00B644BF">
        <w:rPr>
          <w:rFonts w:ascii="Times New Roman" w:hAnsi="Times New Roman" w:cs="Times New Roman"/>
          <w:sz w:val="28"/>
          <w:szCs w:val="24"/>
        </w:rPr>
        <w:t>В пятом разделе Устава КПБ детально изложено организационное строение партии. В Уставе зафиксирован исключительно территориальный принцип организационного построения партии. Положения, касающиеся деятельности первичных партийных организаций – основы КПБ, а также порядка деятельности территориальных партийных организаций и высших органов КПБ [4]. Изменения коснулись периодичности созывов съезда партии – по мере необходимости, но не реже одного раза в пять лет (ранее – не реже одного раза в четыре года); объявление съезда (очередного или внеочередного) должно быть осуществлено не позднее, чем за месяц до предполагаемой даты проведения. Структура партии, состав ее высших руководящих органов (съезда, Центрального Комитета, Бюро и Секретариата Центрального Комитета, Центральной Контрольно-ревизионной комиссии, Совета КПБ (ранее – Совета партии) и принципы их деятельности не были существенным образом пересмотрены и нашли отражение в редакции Устава 2023 г. [4].</w:t>
      </w:r>
    </w:p>
    <w:p w:rsidR="00211EEF" w:rsidRPr="00B644BF" w:rsidRDefault="00211EEF" w:rsidP="00211EEF">
      <w:pPr>
        <w:spacing w:after="0" w:line="240" w:lineRule="auto"/>
        <w:ind w:firstLine="709"/>
        <w:jc w:val="both"/>
        <w:rPr>
          <w:rFonts w:ascii="Times New Roman" w:hAnsi="Times New Roman" w:cs="Times New Roman"/>
          <w:sz w:val="28"/>
        </w:rPr>
      </w:pPr>
      <w:r w:rsidRPr="00B644BF">
        <w:rPr>
          <w:rFonts w:ascii="Times New Roman" w:hAnsi="Times New Roman" w:cs="Times New Roman"/>
          <w:sz w:val="28"/>
          <w:szCs w:val="24"/>
        </w:rPr>
        <w:t xml:space="preserve">Шестой раздел Устава КПБ «Правовой статус. Собственность и бюджет Коммунистической партии Беларуси» содержит разъяснение, касающееся символики КПБ. К символам КПБ относятся: </w:t>
      </w:r>
      <w:r w:rsidRPr="00B644BF">
        <w:rPr>
          <w:rFonts w:ascii="Times New Roman" w:hAnsi="Times New Roman" w:cs="Times New Roman"/>
          <w:sz w:val="28"/>
        </w:rPr>
        <w:t>красный флаг с изображениями серпа, молота и пятиконечной красной звезды; эмблема – серп, молот и пятиконечная красная звезда; девиз-призыв – «Пролетарии всех стран, соединяйтесь!»; лозунг – «Народовластие, справедливость, социализм!» [4]. Нормы, касающиеся вопросов собственности, практически не отличались от аналогичных норм, изложенных в Уставе 2006 г. К ранее зафиксированным в уставах предыдущих редакций источникам формирования денежных средств КПБ добавлены республиканский и (или) местные бюджеты. Размещение денежных средств стало возможным не только на счетах в банках, но и небанковских кредитно-финансовых организаций, зарегистрированных исключительно на территории Республики Беларусь. Ежемесячные членские взносы были установлены в размере 1% со всех видов доходов. В рассматриваемом разделе был расширен перечень лиц, от которых получение денежных средств и имущества не допускалось. К числу таких субъектов отнесены: граждане Республики Беларусь, не являющиеся налоговыми резидентами Республики Беларусь, несовершеннолетние граждане</w:t>
      </w:r>
      <w:r w:rsidRPr="00B644BF">
        <w:rPr>
          <w:rFonts w:ascii="Times New Roman" w:hAnsi="Times New Roman" w:cs="Times New Roman"/>
          <w:sz w:val="28"/>
          <w:szCs w:val="24"/>
        </w:rPr>
        <w:t>, юридические лица,</w:t>
      </w:r>
      <w:r w:rsidRPr="00B644BF">
        <w:rPr>
          <w:rFonts w:ascii="Times New Roman" w:hAnsi="Times New Roman" w:cs="Times New Roman"/>
          <w:sz w:val="24"/>
        </w:rPr>
        <w:t xml:space="preserve"> </w:t>
      </w:r>
      <w:r w:rsidRPr="00B644BF">
        <w:rPr>
          <w:rFonts w:ascii="Times New Roman" w:hAnsi="Times New Roman" w:cs="Times New Roman"/>
          <w:sz w:val="28"/>
        </w:rPr>
        <w:t xml:space="preserve">зарегистрированные в установленном порядке менее чем за один год до дня внесения пожертвования, религиозные организации и юридические лица, учрежденные религиозными организациями. Наконец, в Уставе было </w:t>
      </w:r>
      <w:r w:rsidRPr="00B644BF">
        <w:rPr>
          <w:rFonts w:ascii="Times New Roman" w:hAnsi="Times New Roman" w:cs="Times New Roman"/>
          <w:sz w:val="28"/>
        </w:rPr>
        <w:lastRenderedPageBreak/>
        <w:t>зафиксировано, что размер полученных денежных средств и иного имущества от одного гражданина или юридического лица не должен превышать 1000 базовых величин [4].</w:t>
      </w:r>
    </w:p>
    <w:p w:rsidR="00211EEF" w:rsidRPr="00B644BF" w:rsidRDefault="00211EEF" w:rsidP="00211EEF">
      <w:pPr>
        <w:spacing w:after="0" w:line="240" w:lineRule="auto"/>
        <w:ind w:firstLine="709"/>
        <w:jc w:val="both"/>
        <w:rPr>
          <w:rFonts w:ascii="Times New Roman" w:hAnsi="Times New Roman" w:cs="Times New Roman"/>
          <w:sz w:val="28"/>
        </w:rPr>
      </w:pPr>
      <w:r w:rsidRPr="00B644BF">
        <w:rPr>
          <w:rFonts w:ascii="Times New Roman" w:hAnsi="Times New Roman" w:cs="Times New Roman"/>
          <w:sz w:val="28"/>
          <w:szCs w:val="24"/>
        </w:rPr>
        <w:t xml:space="preserve">Седьмой раздел Устава КПБ 2023 г. содержал заключительные положения, касающиеся порядка реорганизации и ликвидации политической партии. Его нормативное содержание не отличалось от редакции Устава 2006 г. </w:t>
      </w:r>
      <w:r w:rsidRPr="00B644BF">
        <w:rPr>
          <w:rFonts w:ascii="Times New Roman" w:hAnsi="Times New Roman" w:cs="Times New Roman"/>
          <w:sz w:val="28"/>
        </w:rPr>
        <w:t>[5].</w:t>
      </w:r>
    </w:p>
    <w:p w:rsidR="00211EEF" w:rsidRDefault="00211EEF" w:rsidP="00211EEF">
      <w:pPr>
        <w:spacing w:after="0" w:line="240" w:lineRule="auto"/>
        <w:ind w:firstLine="709"/>
        <w:jc w:val="both"/>
        <w:rPr>
          <w:rFonts w:ascii="Times New Roman" w:hAnsi="Times New Roman" w:cs="Times New Roman"/>
          <w:sz w:val="28"/>
        </w:rPr>
      </w:pPr>
      <w:r w:rsidRPr="00B644BF">
        <w:rPr>
          <w:rFonts w:ascii="Times New Roman" w:hAnsi="Times New Roman" w:cs="Times New Roman"/>
          <w:sz w:val="28"/>
        </w:rPr>
        <w:t>Таким образом, принятие новой редакции Устава КПБ в 2023 г. обеспечило успешное прохождение процедуру перерегистрации политической партии. Решением Министерства юстиции Республики Беларусь от 23 июня 2023 г. № 21 была осуществлена государственная регистрация КПБ (с регистрационным номером «3»). Приведение в соответствие законодательству программных документов партии, в частности, ее учредительного документа позволило занять КПБ легальное место среди политических акторов в модернизированной партийной системе Республики Беларусь</w:t>
      </w:r>
      <w:r w:rsidR="00C84F35">
        <w:rPr>
          <w:rFonts w:ascii="Times New Roman" w:hAnsi="Times New Roman" w:cs="Times New Roman"/>
          <w:sz w:val="28"/>
        </w:rPr>
        <w:t>.</w:t>
      </w:r>
    </w:p>
    <w:p w:rsidR="00C84F35" w:rsidRPr="00B644BF" w:rsidRDefault="00C84F35" w:rsidP="00211EEF">
      <w:pPr>
        <w:spacing w:after="0" w:line="240" w:lineRule="auto"/>
        <w:ind w:firstLine="709"/>
        <w:jc w:val="both"/>
        <w:rPr>
          <w:rFonts w:ascii="Times New Roman" w:hAnsi="Times New Roman" w:cs="Times New Roman"/>
          <w:sz w:val="28"/>
        </w:rPr>
      </w:pPr>
      <w:r w:rsidRPr="00B644BF">
        <w:rPr>
          <w:rFonts w:ascii="Times New Roman" w:hAnsi="Times New Roman" w:cs="Times New Roman"/>
          <w:i/>
          <w:sz w:val="28"/>
          <w:szCs w:val="24"/>
          <w:lang w:val="be-BY"/>
        </w:rPr>
        <w:t>Публикация подготовлена при финансовой поддержке БРФФИ в рамках проекта «Коммунистическая партия Беларуси в строительстве социально ориентированного государства (2025–2027 гг.), номер договора Г25-105.</w:t>
      </w:r>
    </w:p>
    <w:p w:rsidR="00211EEF" w:rsidRPr="00B644BF" w:rsidRDefault="00211EEF" w:rsidP="00211EEF">
      <w:pPr>
        <w:spacing w:after="0" w:line="240" w:lineRule="auto"/>
        <w:ind w:firstLine="709"/>
        <w:jc w:val="both"/>
        <w:rPr>
          <w:rFonts w:ascii="Times New Roman" w:hAnsi="Times New Roman" w:cs="Times New Roman"/>
          <w:sz w:val="28"/>
        </w:rPr>
      </w:pPr>
    </w:p>
    <w:p w:rsidR="00211EEF" w:rsidRPr="00B644BF" w:rsidRDefault="00211EEF" w:rsidP="00211EEF">
      <w:pPr>
        <w:spacing w:after="0" w:line="240" w:lineRule="auto"/>
        <w:jc w:val="center"/>
        <w:rPr>
          <w:rFonts w:ascii="Times New Roman" w:hAnsi="Times New Roman" w:cs="Times New Roman"/>
          <w:b/>
          <w:sz w:val="28"/>
        </w:rPr>
      </w:pPr>
      <w:r w:rsidRPr="00B644BF">
        <w:rPr>
          <w:rFonts w:ascii="Times New Roman" w:hAnsi="Times New Roman" w:cs="Times New Roman"/>
          <w:b/>
          <w:sz w:val="28"/>
        </w:rPr>
        <w:t>Список литературы</w:t>
      </w:r>
    </w:p>
    <w:p w:rsidR="00211EEF" w:rsidRPr="00B644BF" w:rsidRDefault="00211EEF" w:rsidP="00C84F35">
      <w:pPr>
        <w:spacing w:after="0"/>
        <w:ind w:firstLine="709"/>
        <w:jc w:val="both"/>
        <w:rPr>
          <w:rFonts w:ascii="Times New Roman" w:hAnsi="Times New Roman" w:cs="Times New Roman"/>
          <w:sz w:val="24"/>
          <w:szCs w:val="24"/>
        </w:rPr>
      </w:pPr>
      <w:r w:rsidRPr="00B644BF">
        <w:rPr>
          <w:rFonts w:ascii="Times New Roman" w:hAnsi="Times New Roman" w:cs="Times New Roman"/>
          <w:sz w:val="24"/>
        </w:rPr>
        <w:t xml:space="preserve">1. </w:t>
      </w:r>
      <w:r w:rsidRPr="00B644BF">
        <w:rPr>
          <w:rFonts w:ascii="Times New Roman" w:hAnsi="Times New Roman" w:cs="Times New Roman"/>
          <w:sz w:val="24"/>
          <w:szCs w:val="24"/>
        </w:rPr>
        <w:t>О нормативных правовых актах : Закон Респ. Беларусь от 17 июля 2018 г. № 130-З : в ред. от 28 июня 2024 г. № 15-З // ЭТАЛОН : информ.-поисковая система (дата обращения: 24.04.2026).</w:t>
      </w:r>
    </w:p>
    <w:p w:rsidR="00211EEF" w:rsidRPr="00B644BF" w:rsidRDefault="00211EEF" w:rsidP="00C84F35">
      <w:pPr>
        <w:spacing w:after="0"/>
        <w:ind w:firstLine="709"/>
        <w:jc w:val="both"/>
        <w:rPr>
          <w:rFonts w:ascii="Times New Roman" w:hAnsi="Times New Roman" w:cs="Times New Roman"/>
          <w:sz w:val="24"/>
          <w:szCs w:val="24"/>
        </w:rPr>
      </w:pPr>
      <w:r w:rsidRPr="00B644BF">
        <w:rPr>
          <w:rFonts w:ascii="Times New Roman" w:hAnsi="Times New Roman" w:cs="Times New Roman"/>
          <w:sz w:val="24"/>
          <w:szCs w:val="24"/>
        </w:rPr>
        <w:t>2. О политических партиях : Закон Респ. Беларусь от 5 окт. 1994 г. № 3266-</w:t>
      </w:r>
      <w:r w:rsidRPr="00B644BF">
        <w:rPr>
          <w:rFonts w:ascii="Times New Roman" w:hAnsi="Times New Roman" w:cs="Times New Roman"/>
          <w:sz w:val="24"/>
          <w:szCs w:val="24"/>
          <w:lang w:val="en-US"/>
        </w:rPr>
        <w:t>XII</w:t>
      </w:r>
      <w:r w:rsidRPr="00B644BF">
        <w:rPr>
          <w:rFonts w:ascii="Times New Roman" w:hAnsi="Times New Roman" w:cs="Times New Roman"/>
          <w:sz w:val="24"/>
          <w:szCs w:val="24"/>
        </w:rPr>
        <w:t xml:space="preserve"> : в ред. от 14 февр. 2023 г. № 251-З // ЭТАЛОН : информ.-поисковая система (дата обращения: 24.04.2026).</w:t>
      </w:r>
    </w:p>
    <w:p w:rsidR="00211EEF" w:rsidRPr="00B644BF" w:rsidRDefault="00211EEF" w:rsidP="00C84F35">
      <w:pPr>
        <w:spacing w:after="0" w:line="240" w:lineRule="auto"/>
        <w:ind w:firstLine="709"/>
        <w:jc w:val="both"/>
        <w:rPr>
          <w:rFonts w:ascii="Times New Roman" w:hAnsi="Times New Roman" w:cs="Times New Roman"/>
          <w:sz w:val="24"/>
          <w:szCs w:val="24"/>
        </w:rPr>
      </w:pPr>
      <w:r w:rsidRPr="00B644BF">
        <w:rPr>
          <w:rFonts w:ascii="Times New Roman" w:hAnsi="Times New Roman" w:cs="Times New Roman"/>
          <w:sz w:val="24"/>
          <w:szCs w:val="24"/>
          <w:lang w:val="be-BY"/>
        </w:rPr>
        <w:t xml:space="preserve">3. Исаёнок, С. </w:t>
      </w:r>
      <w:r w:rsidRPr="00B644BF">
        <w:rPr>
          <w:rFonts w:ascii="Times New Roman" w:hAnsi="Times New Roman" w:cs="Times New Roman"/>
          <w:sz w:val="24"/>
          <w:szCs w:val="24"/>
        </w:rPr>
        <w:t xml:space="preserve">Политическая сила народного единства. Чем займётся новая Белорусская партия «Беларусь Русь» / С. Исаёнок // </w:t>
      </w:r>
      <w:r w:rsidRPr="00B644BF">
        <w:rPr>
          <w:rFonts w:ascii="Times New Roman" w:hAnsi="Times New Roman" w:cs="Times New Roman"/>
          <w:sz w:val="24"/>
          <w:szCs w:val="24"/>
          <w:lang w:val="en-US"/>
        </w:rPr>
        <w:t>SB</w:t>
      </w:r>
      <w:r w:rsidRPr="00B644BF">
        <w:rPr>
          <w:rFonts w:ascii="Times New Roman" w:hAnsi="Times New Roman" w:cs="Times New Roman"/>
          <w:sz w:val="24"/>
          <w:szCs w:val="24"/>
        </w:rPr>
        <w:t>.</w:t>
      </w:r>
      <w:r w:rsidRPr="00B644BF">
        <w:rPr>
          <w:rFonts w:ascii="Times New Roman" w:hAnsi="Times New Roman" w:cs="Times New Roman"/>
          <w:sz w:val="24"/>
          <w:szCs w:val="24"/>
          <w:lang w:val="en-US"/>
        </w:rPr>
        <w:t>BY</w:t>
      </w:r>
      <w:r w:rsidRPr="00B644BF">
        <w:rPr>
          <w:rFonts w:ascii="Times New Roman" w:hAnsi="Times New Roman" w:cs="Times New Roman"/>
          <w:sz w:val="24"/>
          <w:szCs w:val="24"/>
        </w:rPr>
        <w:t xml:space="preserve">. Беларусь сегодня. – </w:t>
      </w:r>
      <w:r w:rsidRPr="00B644BF">
        <w:rPr>
          <w:rFonts w:ascii="Times New Roman" w:hAnsi="Times New Roman" w:cs="Times New Roman"/>
          <w:sz w:val="24"/>
          <w:szCs w:val="24"/>
          <w:lang w:val="en-US"/>
        </w:rPr>
        <w:t>URL</w:t>
      </w:r>
      <w:r w:rsidRPr="00B644BF">
        <w:rPr>
          <w:rFonts w:ascii="Times New Roman" w:hAnsi="Times New Roman" w:cs="Times New Roman"/>
          <w:sz w:val="24"/>
          <w:szCs w:val="24"/>
        </w:rPr>
        <w:t xml:space="preserve">: </w:t>
      </w:r>
      <w:r w:rsidRPr="00B644BF">
        <w:rPr>
          <w:rFonts w:ascii="Times New Roman" w:hAnsi="Times New Roman" w:cs="Times New Roman"/>
          <w:sz w:val="24"/>
          <w:szCs w:val="24"/>
          <w:lang w:val="en-US"/>
        </w:rPr>
        <w:t>htt</w:t>
      </w:r>
      <w:r w:rsidRPr="00B644BF">
        <w:rPr>
          <w:rFonts w:ascii="Times New Roman" w:hAnsi="Times New Roman" w:cs="Times New Roman"/>
          <w:sz w:val="24"/>
          <w:szCs w:val="24"/>
        </w:rPr>
        <w:t>ps://www.sb.by/articles/politicheskaya-sila-narodnogo-edinstva-chem-zaymetsya-novaya-belorusskaya-partiya-belaya-rus.html. – Дата публ.: 03.05.2023.</w:t>
      </w:r>
    </w:p>
    <w:p w:rsidR="00211EEF" w:rsidRPr="00B644BF" w:rsidRDefault="00211EEF" w:rsidP="00C84F35">
      <w:pPr>
        <w:spacing w:after="0"/>
        <w:ind w:firstLine="709"/>
        <w:jc w:val="both"/>
        <w:rPr>
          <w:rFonts w:ascii="Times New Roman" w:hAnsi="Times New Roman" w:cs="Times New Roman"/>
          <w:sz w:val="24"/>
          <w:szCs w:val="24"/>
        </w:rPr>
      </w:pPr>
      <w:r w:rsidRPr="00B644BF">
        <w:rPr>
          <w:rFonts w:ascii="Times New Roman" w:hAnsi="Times New Roman" w:cs="Times New Roman"/>
          <w:sz w:val="24"/>
          <w:szCs w:val="24"/>
        </w:rPr>
        <w:t xml:space="preserve">4. Устав Коммунистической партии Беларуси. Утвержден в новой редакции </w:t>
      </w:r>
      <w:r w:rsidRPr="00B644BF">
        <w:rPr>
          <w:rFonts w:ascii="Times New Roman" w:hAnsi="Times New Roman" w:cs="Times New Roman"/>
          <w:sz w:val="24"/>
          <w:szCs w:val="24"/>
          <w:lang w:val="en-US"/>
        </w:rPr>
        <w:t>XIV</w:t>
      </w:r>
      <w:r w:rsidRPr="00B644BF">
        <w:rPr>
          <w:rFonts w:ascii="Times New Roman" w:hAnsi="Times New Roman" w:cs="Times New Roman"/>
          <w:sz w:val="24"/>
          <w:szCs w:val="24"/>
        </w:rPr>
        <w:t xml:space="preserve"> съездом КПБ 21 апр. 2023 г. // Коммунистическая партия Беларуси. – </w:t>
      </w:r>
      <w:r w:rsidRPr="00B644BF">
        <w:rPr>
          <w:rFonts w:ascii="Times New Roman" w:hAnsi="Times New Roman" w:cs="Times New Roman"/>
          <w:sz w:val="24"/>
          <w:szCs w:val="24"/>
          <w:lang w:val="en-US"/>
        </w:rPr>
        <w:t>URL</w:t>
      </w:r>
      <w:r w:rsidRPr="00B644BF">
        <w:rPr>
          <w:rFonts w:ascii="Times New Roman" w:hAnsi="Times New Roman" w:cs="Times New Roman"/>
          <w:sz w:val="24"/>
          <w:szCs w:val="24"/>
        </w:rPr>
        <w:t xml:space="preserve">: </w:t>
      </w:r>
      <w:r w:rsidRPr="00B644BF">
        <w:rPr>
          <w:rFonts w:ascii="Times New Roman" w:hAnsi="Times New Roman" w:cs="Times New Roman"/>
          <w:sz w:val="24"/>
          <w:szCs w:val="24"/>
          <w:lang w:val="en-US"/>
        </w:rPr>
        <w:t>h</w:t>
      </w:r>
      <w:r w:rsidRPr="00B644BF">
        <w:rPr>
          <w:rFonts w:ascii="Times New Roman" w:hAnsi="Times New Roman" w:cs="Times New Roman"/>
          <w:sz w:val="24"/>
          <w:szCs w:val="24"/>
        </w:rPr>
        <w:t>ttps://comparty.by/wp-content/uploads/2024/12/Устав-КПБ.pdf (дата обращения: 24.04.2026).</w:t>
      </w:r>
    </w:p>
    <w:p w:rsidR="00211EEF" w:rsidRPr="00B644BF" w:rsidRDefault="00211EEF" w:rsidP="00C84F35">
      <w:pPr>
        <w:spacing w:after="0"/>
        <w:ind w:firstLine="709"/>
        <w:jc w:val="both"/>
        <w:rPr>
          <w:rFonts w:ascii="Times New Roman" w:hAnsi="Times New Roman" w:cs="Times New Roman"/>
          <w:sz w:val="24"/>
          <w:szCs w:val="24"/>
        </w:rPr>
      </w:pPr>
      <w:r w:rsidRPr="00B644BF">
        <w:rPr>
          <w:rFonts w:ascii="Times New Roman" w:hAnsi="Times New Roman" w:cs="Times New Roman"/>
          <w:sz w:val="24"/>
          <w:szCs w:val="24"/>
        </w:rPr>
        <w:t xml:space="preserve">5. Устав Коммунистической партии Беларуси // </w:t>
      </w:r>
      <w:r w:rsidRPr="00B644BF">
        <w:rPr>
          <w:rFonts w:ascii="Times New Roman" w:hAnsi="Times New Roman" w:cs="Times New Roman"/>
          <w:sz w:val="24"/>
          <w:szCs w:val="24"/>
          <w:lang w:val="en-US"/>
        </w:rPr>
        <w:t>Internet</w:t>
      </w:r>
      <w:r w:rsidRPr="00B644BF">
        <w:rPr>
          <w:rFonts w:ascii="Times New Roman" w:hAnsi="Times New Roman" w:cs="Times New Roman"/>
          <w:sz w:val="24"/>
          <w:szCs w:val="24"/>
        </w:rPr>
        <w:t xml:space="preserve"> </w:t>
      </w:r>
      <w:r w:rsidRPr="00B644BF">
        <w:rPr>
          <w:rFonts w:ascii="Times New Roman" w:hAnsi="Times New Roman" w:cs="Times New Roman"/>
          <w:sz w:val="24"/>
          <w:szCs w:val="24"/>
          <w:lang w:val="en-US"/>
        </w:rPr>
        <w:t>Archive</w:t>
      </w:r>
      <w:r w:rsidRPr="00B644BF">
        <w:rPr>
          <w:rFonts w:ascii="Times New Roman" w:hAnsi="Times New Roman" w:cs="Times New Roman"/>
          <w:sz w:val="24"/>
          <w:szCs w:val="24"/>
        </w:rPr>
        <w:t xml:space="preserve">. – </w:t>
      </w:r>
      <w:r w:rsidRPr="00B644BF">
        <w:rPr>
          <w:rFonts w:ascii="Times New Roman" w:hAnsi="Times New Roman" w:cs="Times New Roman"/>
          <w:sz w:val="24"/>
          <w:szCs w:val="24"/>
          <w:lang w:val="en-US"/>
        </w:rPr>
        <w:t>URL</w:t>
      </w:r>
      <w:r w:rsidRPr="00B644BF">
        <w:rPr>
          <w:rFonts w:ascii="Times New Roman" w:hAnsi="Times New Roman" w:cs="Times New Roman"/>
          <w:sz w:val="24"/>
          <w:szCs w:val="24"/>
        </w:rPr>
        <w:t xml:space="preserve">: </w:t>
      </w:r>
      <w:r w:rsidRPr="00B644BF">
        <w:rPr>
          <w:rFonts w:ascii="Times New Roman" w:hAnsi="Times New Roman" w:cs="Times New Roman"/>
          <w:sz w:val="24"/>
          <w:szCs w:val="24"/>
          <w:lang w:val="en-US"/>
        </w:rPr>
        <w:t>https</w:t>
      </w:r>
      <w:r w:rsidRPr="00B644BF">
        <w:rPr>
          <w:rFonts w:ascii="Times New Roman" w:hAnsi="Times New Roman" w:cs="Times New Roman"/>
          <w:sz w:val="24"/>
          <w:szCs w:val="24"/>
        </w:rPr>
        <w:t>://web.archive.org/web/20200604153751/http://comparty.by/ustav-kpb (дата обращения: 24.04.2026).</w:t>
      </w:r>
    </w:p>
    <w:p w:rsidR="00211EEF" w:rsidRPr="00B644BF" w:rsidRDefault="00211EEF" w:rsidP="00C84F35">
      <w:pPr>
        <w:ind w:firstLine="709"/>
        <w:rPr>
          <w:rFonts w:ascii="Times New Roman" w:hAnsi="Times New Roman" w:cs="Times New Roman"/>
          <w:b/>
          <w:sz w:val="24"/>
          <w:szCs w:val="24"/>
        </w:rPr>
      </w:pPr>
      <w:r w:rsidRPr="00B644BF">
        <w:rPr>
          <w:rFonts w:ascii="Times New Roman" w:hAnsi="Times New Roman" w:cs="Times New Roman"/>
          <w:b/>
          <w:sz w:val="24"/>
          <w:szCs w:val="24"/>
        </w:rPr>
        <w:br w:type="page"/>
      </w:r>
    </w:p>
    <w:p w:rsidR="00211EEF" w:rsidRPr="00B644BF" w:rsidRDefault="00211EEF" w:rsidP="00C84F35">
      <w:pPr>
        <w:spacing w:after="0" w:line="240" w:lineRule="auto"/>
        <w:ind w:firstLine="709"/>
        <w:jc w:val="center"/>
        <w:rPr>
          <w:rFonts w:ascii="Times New Roman" w:hAnsi="Times New Roman" w:cs="Times New Roman"/>
          <w:b/>
          <w:bCs/>
          <w:sz w:val="28"/>
          <w:szCs w:val="28"/>
        </w:rPr>
      </w:pPr>
      <w:bookmarkStart w:id="13" w:name="_Hlk213953446"/>
      <w:r w:rsidRPr="00B644BF">
        <w:rPr>
          <w:rFonts w:ascii="Times New Roman" w:hAnsi="Times New Roman" w:cs="Times New Roman"/>
          <w:b/>
          <w:bCs/>
          <w:sz w:val="28"/>
          <w:szCs w:val="28"/>
        </w:rPr>
        <w:lastRenderedPageBreak/>
        <w:t>РАЗВИТИЕ И СТАНОВЛЕНИЕ СОЦИАЛЬНОГО ПАРТНЕРСТВА В РЕСПУБЛИКЕ БЕЛАРУСЬ</w:t>
      </w:r>
    </w:p>
    <w:p w:rsidR="00211EEF" w:rsidRPr="00B644BF" w:rsidRDefault="00211EEF" w:rsidP="00C84F35">
      <w:pPr>
        <w:spacing w:after="0" w:line="240" w:lineRule="auto"/>
        <w:ind w:firstLine="709"/>
        <w:jc w:val="center"/>
        <w:rPr>
          <w:rFonts w:ascii="Times New Roman" w:hAnsi="Times New Roman" w:cs="Times New Roman"/>
          <w:b/>
          <w:bCs/>
          <w:sz w:val="28"/>
          <w:szCs w:val="28"/>
        </w:rPr>
      </w:pPr>
    </w:p>
    <w:p w:rsidR="00211EEF" w:rsidRPr="00B644BF" w:rsidRDefault="00211EEF" w:rsidP="00C84F35">
      <w:pPr>
        <w:spacing w:after="0" w:line="240" w:lineRule="auto"/>
        <w:ind w:firstLine="709"/>
        <w:jc w:val="center"/>
        <w:rPr>
          <w:rFonts w:ascii="Times New Roman" w:eastAsia="Times New Roman" w:hAnsi="Times New Roman" w:cs="Times New Roman"/>
          <w:b/>
          <w:bCs/>
          <w:sz w:val="28"/>
          <w:szCs w:val="28"/>
        </w:rPr>
      </w:pPr>
      <w:r w:rsidRPr="00B644BF">
        <w:rPr>
          <w:rFonts w:ascii="Times New Roman" w:eastAsia="Times New Roman" w:hAnsi="Times New Roman" w:cs="Times New Roman"/>
          <w:b/>
          <w:bCs/>
          <w:sz w:val="28"/>
          <w:szCs w:val="28"/>
        </w:rPr>
        <w:t>Степаненко Артём Валентинович</w:t>
      </w:r>
    </w:p>
    <w:p w:rsidR="00211EEF" w:rsidRPr="00C84F35" w:rsidRDefault="00211EEF" w:rsidP="00C84F35">
      <w:pPr>
        <w:spacing w:after="0" w:line="240" w:lineRule="auto"/>
        <w:ind w:firstLine="709"/>
        <w:jc w:val="center"/>
        <w:rPr>
          <w:rFonts w:ascii="Times New Roman" w:eastAsia="Times New Roman" w:hAnsi="Times New Roman" w:cs="Times New Roman"/>
          <w:bCs/>
          <w:sz w:val="28"/>
          <w:szCs w:val="28"/>
        </w:rPr>
      </w:pPr>
      <w:r w:rsidRPr="00C84F35">
        <w:rPr>
          <w:rFonts w:ascii="Times New Roman" w:eastAsia="Times New Roman" w:hAnsi="Times New Roman" w:cs="Times New Roman"/>
          <w:bCs/>
          <w:sz w:val="28"/>
          <w:szCs w:val="28"/>
        </w:rPr>
        <w:t>студент</w:t>
      </w:r>
    </w:p>
    <w:p w:rsidR="00211EEF" w:rsidRPr="00B644BF" w:rsidRDefault="00211EEF" w:rsidP="00C84F35">
      <w:pPr>
        <w:spacing w:after="0" w:line="240" w:lineRule="auto"/>
        <w:ind w:firstLine="709"/>
        <w:jc w:val="center"/>
        <w:rPr>
          <w:rFonts w:ascii="Times New Roman" w:hAnsi="Times New Roman" w:cs="Times New Roman"/>
          <w:sz w:val="28"/>
          <w:szCs w:val="28"/>
          <w:lang w:val="be-BY"/>
        </w:rPr>
      </w:pPr>
      <w:r w:rsidRPr="00B644BF">
        <w:rPr>
          <w:rFonts w:ascii="Times New Roman" w:eastAsia="Times New Roman" w:hAnsi="Times New Roman" w:cs="Times New Roman"/>
          <w:sz w:val="28"/>
          <w:szCs w:val="28"/>
        </w:rPr>
        <w:t xml:space="preserve">учреждения образования </w:t>
      </w:r>
      <w:r w:rsidRPr="00B644BF">
        <w:rPr>
          <w:rFonts w:ascii="Times New Roman" w:hAnsi="Times New Roman" w:cs="Times New Roman"/>
          <w:sz w:val="28"/>
          <w:szCs w:val="28"/>
        </w:rPr>
        <w:t>«Могилевский государственный университет имени А.А. Кулешова»</w:t>
      </w:r>
    </w:p>
    <w:p w:rsidR="00211EEF" w:rsidRPr="00B644BF" w:rsidRDefault="00211EEF" w:rsidP="00C84F35">
      <w:pPr>
        <w:widowControl w:val="0"/>
        <w:tabs>
          <w:tab w:val="left" w:pos="7200"/>
        </w:tabs>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(г. Могилев, Беларусь)</w:t>
      </w:r>
    </w:p>
    <w:p w:rsidR="00211EEF" w:rsidRPr="00B644BF" w:rsidRDefault="00211EEF" w:rsidP="00C84F35">
      <w:pPr>
        <w:widowControl w:val="0"/>
        <w:tabs>
          <w:tab w:val="left" w:pos="7200"/>
        </w:tabs>
        <w:spacing w:after="0" w:line="240" w:lineRule="auto"/>
        <w:ind w:firstLine="709"/>
        <w:jc w:val="center"/>
        <w:rPr>
          <w:rFonts w:ascii="Times New Roman" w:hAnsi="Times New Roman" w:cs="Times New Roman"/>
          <w:spacing w:val="-4"/>
          <w:sz w:val="28"/>
          <w:szCs w:val="28"/>
        </w:rPr>
      </w:pPr>
      <w:r w:rsidRPr="00B644BF">
        <w:rPr>
          <w:rFonts w:ascii="Times New Roman" w:hAnsi="Times New Roman" w:cs="Times New Roman"/>
          <w:sz w:val="28"/>
          <w:szCs w:val="28"/>
          <w:lang w:val="en-US"/>
        </w:rPr>
        <w:t>step</w:t>
      </w:r>
      <w:r w:rsidRPr="00B644BF">
        <w:rPr>
          <w:rFonts w:ascii="Times New Roman" w:hAnsi="Times New Roman" w:cs="Times New Roman"/>
          <w:sz w:val="28"/>
          <w:szCs w:val="28"/>
        </w:rPr>
        <w:t>.</w:t>
      </w:r>
      <w:r w:rsidRPr="00B644BF">
        <w:rPr>
          <w:rFonts w:ascii="Times New Roman" w:hAnsi="Times New Roman" w:cs="Times New Roman"/>
          <w:sz w:val="28"/>
          <w:szCs w:val="28"/>
          <w:lang w:val="en-US"/>
        </w:rPr>
        <w:t>artem</w:t>
      </w:r>
      <w:r w:rsidRPr="00B644BF">
        <w:rPr>
          <w:rFonts w:ascii="Times New Roman" w:hAnsi="Times New Roman" w:cs="Times New Roman"/>
          <w:sz w:val="28"/>
          <w:szCs w:val="28"/>
        </w:rPr>
        <w:t>@</w:t>
      </w:r>
      <w:r w:rsidRPr="00B644BF">
        <w:rPr>
          <w:rFonts w:ascii="Times New Roman" w:hAnsi="Times New Roman" w:cs="Times New Roman"/>
          <w:sz w:val="28"/>
          <w:szCs w:val="28"/>
          <w:lang w:val="en-US"/>
        </w:rPr>
        <w:t>list</w:t>
      </w:r>
      <w:r w:rsidRPr="00B644BF">
        <w:rPr>
          <w:rFonts w:ascii="Times New Roman" w:hAnsi="Times New Roman" w:cs="Times New Roman"/>
          <w:sz w:val="28"/>
          <w:szCs w:val="28"/>
        </w:rPr>
        <w:t>.</w:t>
      </w:r>
      <w:r w:rsidRPr="00B644BF">
        <w:rPr>
          <w:rFonts w:ascii="Times New Roman" w:hAnsi="Times New Roman" w:cs="Times New Roman"/>
          <w:sz w:val="28"/>
          <w:szCs w:val="28"/>
          <w:lang w:val="en-US"/>
        </w:rPr>
        <w:t>ru</w:t>
      </w:r>
    </w:p>
    <w:bookmarkEnd w:id="13"/>
    <w:p w:rsidR="00211EEF" w:rsidRPr="00B644BF" w:rsidRDefault="00211EEF" w:rsidP="00C84F35">
      <w:pPr>
        <w:spacing w:after="0" w:line="240" w:lineRule="auto"/>
        <w:ind w:firstLine="709"/>
        <w:jc w:val="center"/>
        <w:rPr>
          <w:rFonts w:ascii="Times New Roman" w:eastAsia="Times New Roman" w:hAnsi="Times New Roman" w:cs="Times New Roman"/>
          <w:sz w:val="28"/>
          <w:szCs w:val="28"/>
        </w:rPr>
      </w:pPr>
    </w:p>
    <w:p w:rsidR="00211EEF" w:rsidRPr="00B644BF" w:rsidRDefault="00211EEF" w:rsidP="00C84F35">
      <w:pPr>
        <w:spacing w:after="0" w:line="240" w:lineRule="auto"/>
        <w:ind w:firstLine="709"/>
        <w:jc w:val="both"/>
        <w:rPr>
          <w:rFonts w:ascii="Times New Roman" w:eastAsia="Times New Roman" w:hAnsi="Times New Roman" w:cs="Times New Roman"/>
          <w:sz w:val="24"/>
          <w:szCs w:val="24"/>
        </w:rPr>
      </w:pPr>
      <w:r w:rsidRPr="00B644BF">
        <w:rPr>
          <w:rFonts w:ascii="Times New Roman" w:eastAsia="Times New Roman" w:hAnsi="Times New Roman" w:cs="Times New Roman"/>
          <w:b/>
          <w:bCs/>
          <w:sz w:val="24"/>
          <w:szCs w:val="24"/>
        </w:rPr>
        <w:t>Аннотация.</w:t>
      </w:r>
      <w:r w:rsidRPr="00B644BF">
        <w:rPr>
          <w:rFonts w:ascii="Times New Roman" w:eastAsia="Times New Roman" w:hAnsi="Times New Roman" w:cs="Times New Roman"/>
          <w:sz w:val="24"/>
          <w:szCs w:val="24"/>
        </w:rPr>
        <w:t xml:space="preserve"> Данная статья знакомит с исследованием современного состояния системы социального партнерства в Республике Беларусь. Главный акцент лежит на достижениях и проблемах белорусской модели социального партнерства.</w:t>
      </w:r>
    </w:p>
    <w:p w:rsidR="00211EEF" w:rsidRPr="00B644BF" w:rsidRDefault="00211EEF" w:rsidP="00C84F35">
      <w:pPr>
        <w:spacing w:after="0" w:line="240" w:lineRule="auto"/>
        <w:ind w:firstLine="709"/>
        <w:jc w:val="both"/>
        <w:rPr>
          <w:rFonts w:ascii="Times New Roman" w:eastAsia="Times New Roman" w:hAnsi="Times New Roman" w:cs="Times New Roman"/>
          <w:sz w:val="24"/>
          <w:szCs w:val="24"/>
        </w:rPr>
      </w:pPr>
      <w:r w:rsidRPr="00B644BF">
        <w:rPr>
          <w:rFonts w:ascii="Times New Roman" w:eastAsia="Times New Roman" w:hAnsi="Times New Roman" w:cs="Times New Roman"/>
          <w:b/>
          <w:bCs/>
          <w:sz w:val="24"/>
          <w:szCs w:val="24"/>
        </w:rPr>
        <w:t xml:space="preserve">Ключевые слова. </w:t>
      </w:r>
      <w:r w:rsidRPr="00B644BF">
        <w:rPr>
          <w:rFonts w:ascii="Times New Roman" w:eastAsia="Times New Roman" w:hAnsi="Times New Roman" w:cs="Times New Roman"/>
          <w:sz w:val="24"/>
          <w:szCs w:val="24"/>
        </w:rPr>
        <w:t>Партнерство, сотрудничество, взаимодействие, работники, наниматели.</w:t>
      </w:r>
    </w:p>
    <w:p w:rsidR="00211EEF" w:rsidRPr="00B644BF" w:rsidRDefault="00211EEF" w:rsidP="00C84F35">
      <w:pPr>
        <w:spacing w:after="0" w:line="240" w:lineRule="auto"/>
        <w:ind w:firstLine="709"/>
        <w:rPr>
          <w:rFonts w:ascii="Times New Roman" w:hAnsi="Times New Roman" w:cs="Times New Roman"/>
        </w:rPr>
      </w:pPr>
    </w:p>
    <w:p w:rsidR="00211EEF" w:rsidRPr="00B644BF" w:rsidRDefault="00211EEF" w:rsidP="00C84F35">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Идея социального партнерства начала развиваться еще в конце XIX в., когда ученые обосновывали необходимость сотрудничества работников и нанимателей при участии государства для преодоления экономической борьбы трудящихся и предпринимателей. Подчеркивалась польза и для работников, и для нанимателей от взаимного выяснения, согласования интересов обеих сторон и мирного разрешения споров [2]. Только в конце ХХ в. идеи социального партнерства нашли свое закрепление в законодательстве Республики Беларусь.</w:t>
      </w:r>
    </w:p>
    <w:p w:rsidR="00211EEF" w:rsidRPr="00B644BF" w:rsidRDefault="00211EEF" w:rsidP="00C84F35">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Формирование системы социального партнерства в Республике Беларусь, разработка организационно-правовой и научно-методической основы её функционирования начались с принятием Закона Республики Беларусь от 24 ноября 1992 года </w:t>
      </w:r>
      <w:r w:rsidRPr="00B644BF">
        <w:rPr>
          <w:rFonts w:ascii="Times New Roman" w:hAnsi="Times New Roman" w:cs="Times New Roman"/>
          <w:sz w:val="28"/>
          <w:szCs w:val="28"/>
          <w:lang w:val="en-US"/>
        </w:rPr>
        <w:t>N</w:t>
      </w:r>
      <w:r w:rsidRPr="00B644BF">
        <w:rPr>
          <w:rFonts w:ascii="Times New Roman" w:hAnsi="Times New Roman" w:cs="Times New Roman"/>
          <w:sz w:val="28"/>
          <w:szCs w:val="28"/>
        </w:rPr>
        <w:t>º 1965-Х</w:t>
      </w:r>
      <w:r w:rsidRPr="00B644BF">
        <w:rPr>
          <w:rFonts w:ascii="Times New Roman" w:hAnsi="Times New Roman" w:cs="Times New Roman"/>
          <w:sz w:val="28"/>
          <w:szCs w:val="28"/>
          <w:lang w:val="en-US"/>
        </w:rPr>
        <w:t>II</w:t>
      </w:r>
      <w:r w:rsidRPr="00B644BF">
        <w:rPr>
          <w:rFonts w:ascii="Times New Roman" w:hAnsi="Times New Roman" w:cs="Times New Roman"/>
          <w:sz w:val="28"/>
          <w:szCs w:val="28"/>
        </w:rPr>
        <w:t xml:space="preserve"> «О коллективных договорах и соглашениях» (утратил силу с 01.01.2000 в связи с вступлением в силу Трудового Кодекса Республики Беларусь).</w:t>
      </w:r>
    </w:p>
    <w:p w:rsidR="00211EEF" w:rsidRPr="00B644BF" w:rsidRDefault="00211EEF" w:rsidP="00C84F35">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Социальное партнерство представляет собой развитую модель взаимодействия в обществе, гарантирующую поддержку прав трудящихся, нанимателей (включая их ассоциации) и государственных структур за счет поиска общих решений, формирования согласованной точки зрения и реализации совместных действий в ключевых сферах социально-экономического и политического прогресса.</w:t>
      </w:r>
    </w:p>
    <w:p w:rsidR="00211EEF" w:rsidRPr="00B644BF" w:rsidRDefault="00211EEF" w:rsidP="00C84F35">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Юридические основы социального партнерства закреплены на законодательном уровне в статье 14 Конституции Республики Беларусь, где указано, что взаимодействие между государственными структурами, организациями нанимателей и профсоюзами должно происходить по принципам сотрудничества и согласования позиций [1]. Этот принцип является основой системы правового регулирования трудовых отношений, которая формируется благодаря сочетанию нормативных актов, коллективных договоров и других юридических инструментов. Раздел IV </w:t>
      </w:r>
      <w:r w:rsidRPr="00B644BF">
        <w:rPr>
          <w:rFonts w:ascii="Times New Roman" w:hAnsi="Times New Roman" w:cs="Times New Roman"/>
          <w:sz w:val="28"/>
          <w:szCs w:val="28"/>
        </w:rPr>
        <w:lastRenderedPageBreak/>
        <w:t>Трудового Кодекса Республики Беларусь (далее – ТК) содержит ключевые положения и инструменты для осуществления социального партнерства, включая четкое определение этого понятия [4]. В соответствии со ст. 352 ТК социальное партнерство – форма взаимодействия субъектов социального партнерства: органов государственного управления, объединений нанимателей, профессиональных союзов и иных представительных органов работников, уполномоченных в соответствии с актами законодательства представлять их интересы, при разработке и реализации социально-экономической политики государства, основанной на учёте интересов различных слоев и групп общества в социально-трудовой сфере посредством переговоров, консультаций, отказа от конфронтации и социальных конфликтов.</w:t>
      </w:r>
    </w:p>
    <w:p w:rsidR="00211EEF" w:rsidRPr="00B644BF" w:rsidRDefault="00211EEF" w:rsidP="00C84F35">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Правовые нормы, составляющие единый правовой институт социального партнерства, содержатся также в нормативных правовых актах, которые регламентируют отдельные элементы социального партнерства, детализируют его правовой механизм [3].</w:t>
      </w:r>
    </w:p>
    <w:p w:rsidR="00211EEF" w:rsidRPr="00B644BF" w:rsidRDefault="00211EEF" w:rsidP="00C84F35">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Социальное партнерство охватывает различные социальные и трудовые связи, возникающие в обществе, включая формирование, утверждение и внедрение общей стратегии, основанной на правовых нормах и данных о состоянии экономики и сферы занятости в стране. Объекты для рассмотрения при заключении коллективных договоров и соглашений определены статьями 360 и 364 ТК.</w:t>
      </w:r>
    </w:p>
    <w:p w:rsidR="00211EEF" w:rsidRPr="00B644BF" w:rsidRDefault="00211EEF" w:rsidP="00C84F35">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Основой системы социального партнерства выступают трехсторонние (или двусторонние) комиссии, где проводятся совместные консультации, разрабатываются и заключаются соглашения и коллективные договоры, а также отслеживается степень их исполнения.</w:t>
      </w:r>
    </w:p>
    <w:p w:rsidR="00211EEF" w:rsidRPr="00B644BF" w:rsidRDefault="00211EEF" w:rsidP="00C84F35">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Субъектами социального партнерства являются работники, наниматели, государство и их представители для каждого уровня переговоров. Представлять интересы работников могут соответствующие профессиональные союзы и иные представительные органы работников, действующие на основании актов законодательства (ст. 354 ТК). </w:t>
      </w:r>
    </w:p>
    <w:p w:rsidR="00211EEF" w:rsidRPr="00B644BF" w:rsidRDefault="00211EEF" w:rsidP="00C84F35">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В настоящее время в республике функционируют несколько объединений профсоюзов, действующих независимо и осуществляющих представительство и защиту интересов работников — членов профсоюзов: Федерация профсоюзов Беларуси (ФПБ) (наиболее крупное объединение профсоюзов) и Ассоциация профсоюзов «Белорусский Конгресс демократических профсоюзов» (БКДП) [3].</w:t>
      </w:r>
    </w:p>
    <w:p w:rsidR="00211EEF" w:rsidRPr="00B644BF" w:rsidRDefault="00211EEF" w:rsidP="00C84F35">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Таким образом, социальное партнерство – особый вид отношений между государством, работниками (их объединениями), нанимателями (их объединениями), который обеспечивает сбалансированность их социально-трудовых интересов и действий на основе переговорно-договорного процесса. Главная цель социального партнерства состоит в достижении социального согласия и мира в обществе. Благодаря поиску </w:t>
      </w:r>
      <w:r w:rsidRPr="00B644BF">
        <w:rPr>
          <w:rFonts w:ascii="Times New Roman" w:hAnsi="Times New Roman" w:cs="Times New Roman"/>
          <w:sz w:val="28"/>
          <w:szCs w:val="28"/>
        </w:rPr>
        <w:lastRenderedPageBreak/>
        <w:t>взаимоприемлемых вариантов достигается гармонизация интересов работников и нанимателей, а также устанавливается юридическое оформление трудовой деятельности и смежных областей. Такое сотрудничество способствует укреплению общественной стабильности и социальной сплоченности, создает предпосылки для поступательного развития, снижает напряженность в обществе и стимулирует вовлеченность всех заинтересованных сторон в продуктивную деятельность.</w:t>
      </w:r>
    </w:p>
    <w:p w:rsidR="00211EEF" w:rsidRPr="00B644BF" w:rsidRDefault="00211EEF" w:rsidP="00C84F35">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Следует подчеркнуть, что в законодательстве Республики Беларусь не содержится исчерпывающего перечня форм социального партнерства. Следовательно, стороны социального партнерства могут осуществлять взаимодействие любыми не противоречащими законодательству способами с целью согласования интересов и учёта мнения друг друга. Формы социального партнерства реализовываются, как правило, в комплексе.</w:t>
      </w:r>
    </w:p>
    <w:p w:rsidR="00211EEF" w:rsidRPr="00B644BF" w:rsidRDefault="00211EEF" w:rsidP="00C84F35">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В заключение можно высказать предположение, что развитие социально-партнерских отношений в Республике Беларусь будет длительным и непростым. Ускорению этого процесса служило бы конкурентное сотрудничество государства с профсоюзами и объединениями нанимателей, а не диктат государства в лице его высших должностных лиц, при отсутствии всякого диалога между социальными партнерами.</w:t>
      </w:r>
    </w:p>
    <w:p w:rsidR="00211EEF" w:rsidRPr="00B644BF" w:rsidRDefault="00211EEF" w:rsidP="00C84F35">
      <w:pPr>
        <w:spacing w:after="0" w:line="240" w:lineRule="auto"/>
        <w:ind w:firstLine="709"/>
        <w:rPr>
          <w:rFonts w:ascii="Times New Roman" w:hAnsi="Times New Roman" w:cs="Times New Roman"/>
          <w:sz w:val="28"/>
          <w:szCs w:val="28"/>
        </w:rPr>
      </w:pPr>
    </w:p>
    <w:p w:rsidR="00211EEF" w:rsidRPr="00B644BF" w:rsidRDefault="00211EEF" w:rsidP="00C84F35">
      <w:pPr>
        <w:spacing w:after="0" w:line="240" w:lineRule="auto"/>
        <w:ind w:firstLine="709"/>
        <w:jc w:val="center"/>
        <w:rPr>
          <w:rFonts w:ascii="Times New Roman" w:hAnsi="Times New Roman" w:cs="Times New Roman"/>
          <w:b/>
          <w:bCs/>
          <w:sz w:val="28"/>
          <w:szCs w:val="28"/>
        </w:rPr>
      </w:pPr>
      <w:r w:rsidRPr="00B644BF">
        <w:rPr>
          <w:rFonts w:ascii="Times New Roman" w:hAnsi="Times New Roman" w:cs="Times New Roman"/>
          <w:b/>
          <w:bCs/>
          <w:sz w:val="28"/>
          <w:szCs w:val="28"/>
        </w:rPr>
        <w:t>Список литературы</w:t>
      </w:r>
    </w:p>
    <w:p w:rsidR="00211EEF" w:rsidRPr="00B644BF" w:rsidRDefault="00211EEF" w:rsidP="00C84F35">
      <w:pPr>
        <w:numPr>
          <w:ilvl w:val="0"/>
          <w:numId w:val="18"/>
        </w:numPr>
        <w:suppressAutoHyphens/>
        <w:spacing w:after="0" w:line="240" w:lineRule="auto"/>
        <w:ind w:left="0" w:firstLine="709"/>
        <w:jc w:val="both"/>
        <w:rPr>
          <w:rFonts w:ascii="Times New Roman" w:hAnsi="Times New Roman" w:cs="Times New Roman"/>
          <w:sz w:val="24"/>
          <w:szCs w:val="24"/>
        </w:rPr>
      </w:pPr>
      <w:r w:rsidRPr="00B644BF">
        <w:rPr>
          <w:rFonts w:ascii="Times New Roman" w:hAnsi="Times New Roman" w:cs="Times New Roman"/>
          <w:sz w:val="24"/>
          <w:szCs w:val="24"/>
        </w:rPr>
        <w:t>Конституция Республики Беларусь : с изм. и доп., принятыми на респ. референдумах 24 нояб. 1996 г., 17 окт. 2004 г. и 27 февр. 2022 г. // ЭТАЛОН : информ.-поисковая система / Нац. центр правовой информ. Респ. Беларусь (дата обращения: 16.04.2026).</w:t>
      </w:r>
    </w:p>
    <w:p w:rsidR="00211EEF" w:rsidRPr="00B644BF" w:rsidRDefault="00211EEF" w:rsidP="00C84F35">
      <w:pPr>
        <w:numPr>
          <w:ilvl w:val="0"/>
          <w:numId w:val="18"/>
        </w:numPr>
        <w:suppressAutoHyphens/>
        <w:spacing w:after="0" w:line="240" w:lineRule="auto"/>
        <w:ind w:left="0" w:firstLine="709"/>
        <w:jc w:val="both"/>
        <w:rPr>
          <w:rFonts w:ascii="Times New Roman" w:hAnsi="Times New Roman" w:cs="Times New Roman"/>
          <w:sz w:val="24"/>
          <w:szCs w:val="24"/>
        </w:rPr>
      </w:pPr>
      <w:r w:rsidRPr="00B644BF">
        <w:rPr>
          <w:rFonts w:ascii="Times New Roman" w:hAnsi="Times New Roman" w:cs="Times New Roman"/>
          <w:sz w:val="24"/>
          <w:szCs w:val="24"/>
        </w:rPr>
        <w:t>Лушников А. М. Курс трудового права: учебник: в 2 т. Т. 2. Коллективное трудовое право. Индивидуальное трудовое право. Процессуальное трудовое право / А.М. Лушников, М.В. Лушникова. М.: Статут, 2009. С. 31– 35.</w:t>
      </w:r>
    </w:p>
    <w:p w:rsidR="00211EEF" w:rsidRPr="00B644BF" w:rsidRDefault="00211EEF" w:rsidP="00C84F35">
      <w:pPr>
        <w:numPr>
          <w:ilvl w:val="0"/>
          <w:numId w:val="18"/>
        </w:numPr>
        <w:suppressAutoHyphens/>
        <w:spacing w:after="0" w:line="240" w:lineRule="auto"/>
        <w:ind w:left="0" w:firstLine="709"/>
        <w:jc w:val="both"/>
        <w:rPr>
          <w:rFonts w:ascii="Times New Roman" w:hAnsi="Times New Roman" w:cs="Times New Roman"/>
          <w:sz w:val="24"/>
          <w:szCs w:val="24"/>
        </w:rPr>
      </w:pPr>
      <w:r w:rsidRPr="00B644BF">
        <w:rPr>
          <w:rFonts w:ascii="Times New Roman" w:hAnsi="Times New Roman" w:cs="Times New Roman"/>
          <w:sz w:val="24"/>
          <w:szCs w:val="24"/>
        </w:rPr>
        <w:t>Трудовое право : учебник / Семенков В. И. [и др. ] ; под ред. В. И. Семенкова. — Минск : Адукацыя і выхаванне, 2016. — 712 с.</w:t>
      </w:r>
    </w:p>
    <w:p w:rsidR="00211EEF" w:rsidRPr="00B644BF" w:rsidRDefault="00211EEF" w:rsidP="00C84F35">
      <w:pPr>
        <w:numPr>
          <w:ilvl w:val="0"/>
          <w:numId w:val="18"/>
        </w:numPr>
        <w:suppressAutoHyphens/>
        <w:spacing w:after="0" w:line="240" w:lineRule="auto"/>
        <w:ind w:left="0" w:firstLine="709"/>
        <w:jc w:val="both"/>
        <w:rPr>
          <w:rFonts w:ascii="Times New Roman" w:hAnsi="Times New Roman" w:cs="Times New Roman"/>
          <w:sz w:val="24"/>
          <w:szCs w:val="24"/>
        </w:rPr>
      </w:pPr>
      <w:r w:rsidRPr="00B644BF">
        <w:rPr>
          <w:rFonts w:ascii="Times New Roman" w:hAnsi="Times New Roman" w:cs="Times New Roman"/>
          <w:sz w:val="24"/>
          <w:szCs w:val="24"/>
        </w:rPr>
        <w:t>Трудовой кодекс Республики Беларусь : 26 июля 1999 г. № 296-З : принят Палатой представителей 8 июня 1999 г. ; одобрен Советом Республики 30 июня 1999 г. : в ред. Закона Респ. Беларусь от 5 дек. 2024 г. № 46-З // ЭТАЛОН. Законодательство Республики Беларусь / Нац. центр правовой информ. Респ. Беларусь. – Минск, 2026.</w:t>
      </w:r>
    </w:p>
    <w:p w:rsidR="00211EEF" w:rsidRPr="00B644BF" w:rsidRDefault="00211EEF" w:rsidP="00C84F35">
      <w:pPr>
        <w:pStyle w:val="a7"/>
        <w:spacing w:after="0" w:line="240" w:lineRule="auto"/>
        <w:ind w:left="0" w:firstLine="709"/>
        <w:rPr>
          <w:rFonts w:ascii="Times New Roman" w:hAnsi="Times New Roman" w:cs="Times New Roman"/>
          <w:sz w:val="28"/>
          <w:szCs w:val="28"/>
        </w:rPr>
      </w:pPr>
    </w:p>
    <w:p w:rsidR="00C84F35" w:rsidRDefault="00C84F35" w:rsidP="00211EEF">
      <w:pPr>
        <w:jc w:val="center"/>
        <w:rPr>
          <w:rFonts w:ascii="Times New Roman" w:hAnsi="Times New Roman" w:cs="Times New Roman"/>
          <w:b/>
          <w:caps/>
          <w:sz w:val="28"/>
        </w:rPr>
      </w:pPr>
    </w:p>
    <w:p w:rsidR="00C84F35" w:rsidRDefault="00C84F35" w:rsidP="00211EEF">
      <w:pPr>
        <w:jc w:val="center"/>
        <w:rPr>
          <w:rFonts w:ascii="Times New Roman" w:hAnsi="Times New Roman" w:cs="Times New Roman"/>
          <w:b/>
          <w:caps/>
          <w:sz w:val="28"/>
        </w:rPr>
      </w:pPr>
    </w:p>
    <w:p w:rsidR="00C84F35" w:rsidRDefault="00C84F35" w:rsidP="00211EEF">
      <w:pPr>
        <w:jc w:val="center"/>
        <w:rPr>
          <w:rFonts w:ascii="Times New Roman" w:hAnsi="Times New Roman" w:cs="Times New Roman"/>
          <w:b/>
          <w:caps/>
          <w:sz w:val="28"/>
        </w:rPr>
      </w:pPr>
    </w:p>
    <w:p w:rsidR="00C84F35" w:rsidRDefault="00C84F35" w:rsidP="00211EEF">
      <w:pPr>
        <w:jc w:val="center"/>
        <w:rPr>
          <w:rFonts w:ascii="Times New Roman" w:hAnsi="Times New Roman" w:cs="Times New Roman"/>
          <w:b/>
          <w:caps/>
          <w:sz w:val="28"/>
        </w:rPr>
      </w:pPr>
    </w:p>
    <w:p w:rsidR="00211EEF" w:rsidRPr="00B644BF" w:rsidRDefault="00211EEF" w:rsidP="001571A7">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b/>
          <w:caps/>
          <w:sz w:val="28"/>
        </w:rPr>
        <w:lastRenderedPageBreak/>
        <w:t>Кадровый потенциал в сельском хозяйстве Республики Беларусь и пути его развития</w:t>
      </w:r>
    </w:p>
    <w:p w:rsidR="00211EEF" w:rsidRPr="00B644BF" w:rsidRDefault="00211EEF" w:rsidP="001571A7">
      <w:pPr>
        <w:spacing w:after="0" w:line="240" w:lineRule="auto"/>
        <w:ind w:firstLine="709"/>
        <w:jc w:val="center"/>
        <w:rPr>
          <w:rFonts w:ascii="Times New Roman" w:hAnsi="Times New Roman" w:cs="Times New Roman"/>
          <w:b/>
          <w:sz w:val="28"/>
          <w:szCs w:val="28"/>
        </w:rPr>
      </w:pPr>
      <w:r w:rsidRPr="00B644BF">
        <w:rPr>
          <w:rFonts w:ascii="Times New Roman" w:hAnsi="Times New Roman" w:cs="Times New Roman"/>
          <w:b/>
          <w:sz w:val="28"/>
          <w:szCs w:val="28"/>
        </w:rPr>
        <w:t>Азат Акмырадович Таганов</w:t>
      </w:r>
    </w:p>
    <w:p w:rsidR="00211EEF" w:rsidRPr="00B644BF" w:rsidRDefault="00211EEF" w:rsidP="001571A7">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аспирант, учреждение образования «Белорусская государственная орденов Октябрьской Революции и Трудового Красного Знамени сельскохозяйственная академия»</w:t>
      </w:r>
    </w:p>
    <w:p w:rsidR="00211EEF" w:rsidRPr="00B644BF" w:rsidRDefault="00211EEF" w:rsidP="001571A7">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(г. Горки, Могилевская область, Республика Беларусь)</w:t>
      </w:r>
    </w:p>
    <w:p w:rsidR="00211EEF" w:rsidRPr="004611AA" w:rsidRDefault="00F975FD" w:rsidP="001571A7">
      <w:pPr>
        <w:spacing w:after="0" w:line="240" w:lineRule="auto"/>
        <w:ind w:firstLine="709"/>
        <w:jc w:val="center"/>
        <w:rPr>
          <w:rFonts w:ascii="Times New Roman" w:hAnsi="Times New Roman" w:cs="Times New Roman"/>
          <w:sz w:val="28"/>
          <w:szCs w:val="28"/>
        </w:rPr>
      </w:pPr>
      <w:hyperlink r:id="rId24" w:history="1">
        <w:r w:rsidR="00211EEF" w:rsidRPr="004611AA">
          <w:rPr>
            <w:rStyle w:val="a5"/>
            <w:rFonts w:ascii="Times New Roman" w:hAnsi="Times New Roman" w:cs="Times New Roman"/>
            <w:color w:val="auto"/>
            <w:sz w:val="28"/>
            <w:szCs w:val="28"/>
            <w:u w:val="none"/>
            <w:lang w:val="en-US"/>
          </w:rPr>
          <w:t>ya</w:t>
        </w:r>
        <w:r w:rsidR="00211EEF" w:rsidRPr="004611AA">
          <w:rPr>
            <w:rStyle w:val="a5"/>
            <w:rFonts w:ascii="Times New Roman" w:hAnsi="Times New Roman" w:cs="Times New Roman"/>
            <w:color w:val="auto"/>
            <w:sz w:val="28"/>
            <w:szCs w:val="28"/>
            <w:u w:val="none"/>
          </w:rPr>
          <w:t>.</w:t>
        </w:r>
        <w:r w:rsidR="00211EEF" w:rsidRPr="004611AA">
          <w:rPr>
            <w:rStyle w:val="a5"/>
            <w:rFonts w:ascii="Times New Roman" w:hAnsi="Times New Roman" w:cs="Times New Roman"/>
            <w:color w:val="auto"/>
            <w:sz w:val="28"/>
            <w:szCs w:val="28"/>
            <w:u w:val="none"/>
            <w:lang w:val="en-US"/>
          </w:rPr>
          <w:t>taganov</w:t>
        </w:r>
        <w:r w:rsidR="00211EEF" w:rsidRPr="004611AA">
          <w:rPr>
            <w:rStyle w:val="a5"/>
            <w:rFonts w:ascii="Times New Roman" w:hAnsi="Times New Roman" w:cs="Times New Roman"/>
            <w:color w:val="auto"/>
            <w:sz w:val="28"/>
            <w:szCs w:val="28"/>
            <w:u w:val="none"/>
          </w:rPr>
          <w:t>1985@</w:t>
        </w:r>
        <w:r w:rsidR="00211EEF" w:rsidRPr="004611AA">
          <w:rPr>
            <w:rStyle w:val="a5"/>
            <w:rFonts w:ascii="Times New Roman" w:hAnsi="Times New Roman" w:cs="Times New Roman"/>
            <w:color w:val="auto"/>
            <w:sz w:val="28"/>
            <w:szCs w:val="28"/>
            <w:u w:val="none"/>
            <w:lang w:val="en-US"/>
          </w:rPr>
          <w:t>yandex</w:t>
        </w:r>
        <w:r w:rsidR="00211EEF" w:rsidRPr="004611AA">
          <w:rPr>
            <w:rStyle w:val="a5"/>
            <w:rFonts w:ascii="Times New Roman" w:hAnsi="Times New Roman" w:cs="Times New Roman"/>
            <w:color w:val="auto"/>
            <w:sz w:val="28"/>
            <w:szCs w:val="28"/>
            <w:u w:val="none"/>
          </w:rPr>
          <w:t>.</w:t>
        </w:r>
        <w:r w:rsidR="00211EEF" w:rsidRPr="004611AA">
          <w:rPr>
            <w:rStyle w:val="a5"/>
            <w:rFonts w:ascii="Times New Roman" w:hAnsi="Times New Roman" w:cs="Times New Roman"/>
            <w:color w:val="auto"/>
            <w:sz w:val="28"/>
            <w:szCs w:val="28"/>
            <w:u w:val="none"/>
            <w:lang w:val="en-US"/>
          </w:rPr>
          <w:t>ru</w:t>
        </w:r>
      </w:hyperlink>
    </w:p>
    <w:p w:rsidR="00211EEF" w:rsidRPr="00B644BF" w:rsidRDefault="00211EEF" w:rsidP="001571A7">
      <w:pPr>
        <w:spacing w:after="0" w:line="240" w:lineRule="auto"/>
        <w:ind w:firstLine="709"/>
        <w:jc w:val="center"/>
        <w:rPr>
          <w:rFonts w:ascii="Times New Roman" w:hAnsi="Times New Roman" w:cs="Times New Roman"/>
          <w:b/>
          <w:sz w:val="28"/>
          <w:szCs w:val="28"/>
        </w:rPr>
      </w:pPr>
      <w:r w:rsidRPr="00B644BF">
        <w:rPr>
          <w:rFonts w:ascii="Times New Roman" w:hAnsi="Times New Roman" w:cs="Times New Roman"/>
          <w:b/>
          <w:sz w:val="28"/>
          <w:szCs w:val="28"/>
        </w:rPr>
        <w:t>Алексей Васильевич Колмыков</w:t>
      </w:r>
    </w:p>
    <w:p w:rsidR="00211EEF" w:rsidRPr="00B644BF" w:rsidRDefault="00211EEF" w:rsidP="001571A7">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кандидат экономических наук, доцент, зав. кафедрой экономики и МЭО в АПК учреждения образования «Белорусская государственная орденов Октябрьской Революции и Трудового Красного Знамени сельскохозяйственная академия»</w:t>
      </w:r>
    </w:p>
    <w:p w:rsidR="00211EEF" w:rsidRPr="00B644BF" w:rsidRDefault="00211EEF" w:rsidP="001571A7">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(г. Горки, Могилевская область, Республика Беларусь)</w:t>
      </w:r>
    </w:p>
    <w:p w:rsidR="00211EEF" w:rsidRPr="00B644BF" w:rsidRDefault="00211EEF" w:rsidP="001571A7">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alex_2704@mail.ru</w:t>
      </w:r>
    </w:p>
    <w:p w:rsidR="00211EEF" w:rsidRPr="00B644BF" w:rsidRDefault="00211EEF" w:rsidP="001571A7">
      <w:pPr>
        <w:spacing w:after="0" w:line="240" w:lineRule="auto"/>
        <w:ind w:firstLine="709"/>
        <w:rPr>
          <w:rFonts w:ascii="Times New Roman" w:hAnsi="Times New Roman" w:cs="Times New Roman"/>
          <w:sz w:val="28"/>
          <w:szCs w:val="28"/>
        </w:rPr>
      </w:pPr>
    </w:p>
    <w:p w:rsidR="00211EEF" w:rsidRPr="001571A7" w:rsidRDefault="00211EEF" w:rsidP="001571A7">
      <w:pPr>
        <w:spacing w:after="0" w:line="240" w:lineRule="auto"/>
        <w:ind w:firstLine="709"/>
        <w:jc w:val="both"/>
        <w:rPr>
          <w:rFonts w:ascii="Times New Roman" w:hAnsi="Times New Roman" w:cs="Times New Roman"/>
          <w:i/>
          <w:sz w:val="24"/>
          <w:szCs w:val="24"/>
        </w:rPr>
      </w:pPr>
      <w:r w:rsidRPr="001571A7">
        <w:rPr>
          <w:rFonts w:ascii="Times New Roman" w:hAnsi="Times New Roman" w:cs="Times New Roman"/>
          <w:b/>
          <w:sz w:val="24"/>
          <w:szCs w:val="24"/>
        </w:rPr>
        <w:t xml:space="preserve">Аннотация. </w:t>
      </w:r>
      <w:r w:rsidRPr="001571A7">
        <w:rPr>
          <w:rFonts w:ascii="Times New Roman" w:hAnsi="Times New Roman" w:cs="Times New Roman"/>
          <w:sz w:val="24"/>
          <w:szCs w:val="24"/>
        </w:rPr>
        <w:t>В статье исследуется кадровый потенциал сельского хозяйства Республики Беларусь как ключевое условие устойчивости аграрного производства, продовольственной безопасности и развития сельских территорий. Обосновано, что в отрасли одновременно проявляются две противоположные тенденции: уменьшение численности работников и рост результативности труда. Выявлены основные ограничения развития кадрового потенциала: демографическое снижение численности сельского населения, квалификационный дисбаланс, недостаточная привлекательность аграрного труда, инфраструктурные ограничения и слабая связка образования с потребностями работодателей. Предложены практические направления развития кадрового потенциала на уровне государства, региона и сельскохозяйственной организации.</w:t>
      </w:r>
    </w:p>
    <w:p w:rsidR="00211EEF" w:rsidRPr="001571A7" w:rsidRDefault="00211EEF" w:rsidP="001571A7">
      <w:pPr>
        <w:spacing w:after="0" w:line="240" w:lineRule="auto"/>
        <w:ind w:firstLine="709"/>
        <w:jc w:val="both"/>
        <w:rPr>
          <w:rFonts w:ascii="Times New Roman" w:hAnsi="Times New Roman" w:cs="Times New Roman"/>
          <w:i/>
          <w:sz w:val="24"/>
          <w:szCs w:val="24"/>
        </w:rPr>
      </w:pPr>
      <w:r w:rsidRPr="001571A7">
        <w:rPr>
          <w:rFonts w:ascii="Times New Roman" w:hAnsi="Times New Roman" w:cs="Times New Roman"/>
          <w:b/>
          <w:sz w:val="24"/>
          <w:szCs w:val="24"/>
        </w:rPr>
        <w:t xml:space="preserve">Ключевые слова. </w:t>
      </w:r>
      <w:r w:rsidRPr="001571A7">
        <w:rPr>
          <w:rFonts w:ascii="Times New Roman" w:hAnsi="Times New Roman" w:cs="Times New Roman"/>
          <w:sz w:val="24"/>
          <w:szCs w:val="24"/>
        </w:rPr>
        <w:t>Кадровый потенциал, сельское хозяйство, занятость, производительность труда, цифровизация, мотивация, социальная инфраструктура, развитие.</w:t>
      </w:r>
    </w:p>
    <w:p w:rsidR="00211EEF" w:rsidRPr="00B644BF" w:rsidRDefault="00211EEF" w:rsidP="001571A7">
      <w:pPr>
        <w:spacing w:after="0" w:line="240" w:lineRule="auto"/>
        <w:ind w:firstLine="709"/>
        <w:rPr>
          <w:rFonts w:ascii="Times New Roman" w:hAnsi="Times New Roman" w:cs="Times New Roman"/>
          <w:sz w:val="28"/>
          <w:szCs w:val="28"/>
        </w:rPr>
      </w:pPr>
    </w:p>
    <w:p w:rsidR="00211EEF" w:rsidRPr="00B644BF" w:rsidRDefault="00211EEF" w:rsidP="001571A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Исследования показывают, что кадровый потенциал сельского хозяйства представляет собой не просто совокупность работников отрасли, а систему количественных и качественных характеристик рабочей силы, от которых зависят устойчивость производства, способность к обновлению технологий и эффективность использования земли, техники и капитала. В современной аграрной экономике значение кадрового фактора возрастает, поскольку конкурентоспособность предприятия определяется уже не только ресурсной обеспеченностью, но и уровнем компетенций, организационной культуры, мотивации и адаптивности работников [1, с. 71; 6, с. 38].</w:t>
      </w:r>
    </w:p>
    <w:p w:rsidR="00211EEF" w:rsidRPr="00B644BF" w:rsidRDefault="00211EEF" w:rsidP="001571A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Для Республики Беларусь проблема кадрового потенциала в сельском хозяйстве имеет стратегический характер. Сельское хозяйство остается системообразующей отраслью экономики, обеспечивая продовольственную безопасность, загрузку перерабатывающих </w:t>
      </w:r>
      <w:r w:rsidRPr="00B644BF">
        <w:rPr>
          <w:rFonts w:ascii="Times New Roman" w:hAnsi="Times New Roman" w:cs="Times New Roman"/>
          <w:sz w:val="28"/>
          <w:szCs w:val="28"/>
        </w:rPr>
        <w:lastRenderedPageBreak/>
        <w:t>производств и занятость на сельских территориях. Однако кадровая база аграрного сектора формируется в условиях уменьшения сельского населения, миграционного оттока молодежи и роста требований к квалификации работников. Именно поэтому оценка кадрового потенциала должна учитывать не только численность занятых, но и их возрастную структуру, профессиональную подготовку, способность осваивать цифровые технологии и готовность работать в долгосрочной перспективе [4, с. 390; 6, с. 40].</w:t>
      </w:r>
    </w:p>
    <w:p w:rsidR="00211EEF" w:rsidRPr="00B644BF" w:rsidRDefault="00211EEF" w:rsidP="001571A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Сложившаяся ситуация в аграрном секторе Республики Беларусь характеризуется явным демографическим напряжением. Сокращение сельского населения объективно сужает кадровую базу отрасли. Одновременно уменьшается численность работников, непосредственно занятых в сельском хозяйстве, что усиливает нагрузку на остающийся персонал и требует повышения производительности труда. При этом демографический фактор действует не изолированно, а в сочетании с более высокой миграционной мобильностью молодежи, для которой сельский труд часто проигрывает городскому по параметрам дохода, качества жизни и карьерных перспектив [2, с. 169; 4, с. 391].</w:t>
      </w:r>
    </w:p>
    <w:p w:rsidR="00211EEF" w:rsidRPr="00B644BF" w:rsidRDefault="00211EEF" w:rsidP="001571A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bCs/>
          <w:sz w:val="28"/>
          <w:szCs w:val="28"/>
        </w:rPr>
        <w:t>Основные показатели кадровой базы сельского хозяйства Республики Беларусь приведены в таблице 1.</w:t>
      </w:r>
    </w:p>
    <w:p w:rsidR="001571A7" w:rsidRDefault="001571A7" w:rsidP="001571A7">
      <w:pPr>
        <w:spacing w:after="0" w:line="240" w:lineRule="auto"/>
        <w:jc w:val="both"/>
        <w:rPr>
          <w:rFonts w:ascii="Times New Roman" w:hAnsi="Times New Roman" w:cs="Times New Roman"/>
          <w:bCs/>
          <w:sz w:val="28"/>
          <w:szCs w:val="28"/>
        </w:rPr>
      </w:pPr>
    </w:p>
    <w:p w:rsidR="00211EEF" w:rsidRPr="00B644BF" w:rsidRDefault="00211EEF" w:rsidP="001571A7">
      <w:pPr>
        <w:spacing w:after="0" w:line="240" w:lineRule="auto"/>
        <w:jc w:val="both"/>
        <w:rPr>
          <w:rFonts w:ascii="Times New Roman" w:hAnsi="Times New Roman" w:cs="Times New Roman"/>
          <w:sz w:val="28"/>
          <w:szCs w:val="28"/>
        </w:rPr>
      </w:pPr>
      <w:r w:rsidRPr="00B644BF">
        <w:rPr>
          <w:rFonts w:ascii="Times New Roman" w:hAnsi="Times New Roman" w:cs="Times New Roman"/>
          <w:bCs/>
          <w:sz w:val="28"/>
          <w:szCs w:val="28"/>
        </w:rPr>
        <w:t>Таблица 1 – Основные показатели кадровой базы сельского хозяйства Республики Беларусь</w:t>
      </w:r>
    </w:p>
    <w:tbl>
      <w:tblPr>
        <w:tblStyle w:val="af2"/>
        <w:tblW w:w="0" w:type="auto"/>
        <w:tblLook w:val="04A0"/>
      </w:tblPr>
      <w:tblGrid>
        <w:gridCol w:w="4361"/>
        <w:gridCol w:w="1843"/>
        <w:gridCol w:w="1548"/>
        <w:gridCol w:w="1534"/>
      </w:tblGrid>
      <w:tr w:rsidR="00211EEF" w:rsidRPr="00B644BF" w:rsidTr="00211EEF">
        <w:tc>
          <w:tcPr>
            <w:tcW w:w="4361" w:type="dxa"/>
            <w:vAlign w:val="center"/>
            <w:hideMark/>
          </w:tcPr>
          <w:p w:rsidR="00211EEF" w:rsidRPr="00B644BF" w:rsidRDefault="00211EEF" w:rsidP="00211EEF">
            <w:pPr>
              <w:jc w:val="center"/>
              <w:rPr>
                <w:rFonts w:ascii="Times New Roman" w:hAnsi="Times New Roman" w:cs="Times New Roman"/>
                <w:bCs/>
              </w:rPr>
            </w:pPr>
            <w:r w:rsidRPr="00B644BF">
              <w:rPr>
                <w:rFonts w:ascii="Times New Roman" w:hAnsi="Times New Roman" w:cs="Times New Roman"/>
                <w:bCs/>
              </w:rPr>
              <w:t>Показатель</w:t>
            </w:r>
          </w:p>
        </w:tc>
        <w:tc>
          <w:tcPr>
            <w:tcW w:w="1843" w:type="dxa"/>
            <w:vAlign w:val="center"/>
            <w:hideMark/>
          </w:tcPr>
          <w:p w:rsidR="00211EEF" w:rsidRPr="00B644BF" w:rsidRDefault="00211EEF" w:rsidP="00211EEF">
            <w:pPr>
              <w:jc w:val="center"/>
              <w:rPr>
                <w:rFonts w:ascii="Times New Roman" w:hAnsi="Times New Roman" w:cs="Times New Roman"/>
                <w:bCs/>
              </w:rPr>
            </w:pPr>
            <w:r w:rsidRPr="00B644BF">
              <w:rPr>
                <w:rFonts w:ascii="Times New Roman" w:hAnsi="Times New Roman" w:cs="Times New Roman"/>
                <w:bCs/>
              </w:rPr>
              <w:t>2020 г.</w:t>
            </w:r>
          </w:p>
        </w:tc>
        <w:tc>
          <w:tcPr>
            <w:tcW w:w="1548" w:type="dxa"/>
            <w:vAlign w:val="center"/>
            <w:hideMark/>
          </w:tcPr>
          <w:p w:rsidR="00211EEF" w:rsidRPr="00B644BF" w:rsidRDefault="00211EEF" w:rsidP="00211EEF">
            <w:pPr>
              <w:jc w:val="center"/>
              <w:rPr>
                <w:rFonts w:ascii="Times New Roman" w:hAnsi="Times New Roman" w:cs="Times New Roman"/>
                <w:bCs/>
              </w:rPr>
            </w:pPr>
            <w:r w:rsidRPr="00B644BF">
              <w:rPr>
                <w:rFonts w:ascii="Times New Roman" w:hAnsi="Times New Roman" w:cs="Times New Roman"/>
                <w:bCs/>
              </w:rPr>
              <w:t>2024 г.</w:t>
            </w:r>
          </w:p>
        </w:tc>
        <w:tc>
          <w:tcPr>
            <w:tcW w:w="0" w:type="auto"/>
            <w:vAlign w:val="center"/>
            <w:hideMark/>
          </w:tcPr>
          <w:p w:rsidR="00211EEF" w:rsidRPr="00B644BF" w:rsidRDefault="00211EEF" w:rsidP="00211EEF">
            <w:pPr>
              <w:jc w:val="center"/>
              <w:rPr>
                <w:rFonts w:ascii="Times New Roman" w:hAnsi="Times New Roman" w:cs="Times New Roman"/>
                <w:bCs/>
              </w:rPr>
            </w:pPr>
            <w:r w:rsidRPr="00B644BF">
              <w:rPr>
                <w:rFonts w:ascii="Times New Roman" w:hAnsi="Times New Roman" w:cs="Times New Roman"/>
                <w:bCs/>
              </w:rPr>
              <w:t>2024 г. к 2020 г., %</w:t>
            </w:r>
          </w:p>
        </w:tc>
      </w:tr>
      <w:tr w:rsidR="00211EEF" w:rsidRPr="00B644BF" w:rsidTr="00211EEF">
        <w:tc>
          <w:tcPr>
            <w:tcW w:w="4361" w:type="dxa"/>
            <w:vAlign w:val="center"/>
            <w:hideMark/>
          </w:tcPr>
          <w:p w:rsidR="00211EEF" w:rsidRPr="00B644BF" w:rsidRDefault="00211EEF" w:rsidP="00211EEF">
            <w:pPr>
              <w:rPr>
                <w:rFonts w:ascii="Times New Roman" w:hAnsi="Times New Roman" w:cs="Times New Roman"/>
              </w:rPr>
            </w:pPr>
            <w:r w:rsidRPr="00B644BF">
              <w:rPr>
                <w:rFonts w:ascii="Times New Roman" w:hAnsi="Times New Roman" w:cs="Times New Roman"/>
              </w:rPr>
              <w:t>Численность сельского населения, чел.</w:t>
            </w:r>
          </w:p>
        </w:tc>
        <w:tc>
          <w:tcPr>
            <w:tcW w:w="1843" w:type="dxa"/>
            <w:vAlign w:val="center"/>
            <w:hideMark/>
          </w:tcPr>
          <w:p w:rsidR="00211EEF" w:rsidRPr="00B644BF" w:rsidRDefault="00211EEF" w:rsidP="00211EEF">
            <w:pPr>
              <w:jc w:val="center"/>
              <w:rPr>
                <w:rFonts w:ascii="Times New Roman" w:hAnsi="Times New Roman" w:cs="Times New Roman"/>
              </w:rPr>
            </w:pPr>
            <w:r w:rsidRPr="00B644BF">
              <w:rPr>
                <w:rFonts w:ascii="Times New Roman" w:hAnsi="Times New Roman" w:cs="Times New Roman"/>
              </w:rPr>
              <w:t>2 069 325</w:t>
            </w:r>
          </w:p>
        </w:tc>
        <w:tc>
          <w:tcPr>
            <w:tcW w:w="1548" w:type="dxa"/>
            <w:vAlign w:val="center"/>
            <w:hideMark/>
          </w:tcPr>
          <w:p w:rsidR="00211EEF" w:rsidRPr="00B644BF" w:rsidRDefault="00211EEF" w:rsidP="00211EEF">
            <w:pPr>
              <w:jc w:val="center"/>
              <w:rPr>
                <w:rFonts w:ascii="Times New Roman" w:hAnsi="Times New Roman" w:cs="Times New Roman"/>
              </w:rPr>
            </w:pPr>
            <w:r w:rsidRPr="00B644BF">
              <w:rPr>
                <w:rFonts w:ascii="Times New Roman" w:hAnsi="Times New Roman" w:cs="Times New Roman"/>
              </w:rPr>
              <w:t>1 926 590</w:t>
            </w:r>
          </w:p>
        </w:tc>
        <w:tc>
          <w:tcPr>
            <w:tcW w:w="0" w:type="auto"/>
            <w:vAlign w:val="center"/>
            <w:hideMark/>
          </w:tcPr>
          <w:p w:rsidR="00211EEF" w:rsidRPr="00B644BF" w:rsidRDefault="00211EEF" w:rsidP="00211EEF">
            <w:pPr>
              <w:jc w:val="center"/>
              <w:rPr>
                <w:rFonts w:ascii="Times New Roman" w:hAnsi="Times New Roman" w:cs="Times New Roman"/>
              </w:rPr>
            </w:pPr>
            <w:r w:rsidRPr="00B644BF">
              <w:rPr>
                <w:rFonts w:ascii="Times New Roman" w:hAnsi="Times New Roman" w:cs="Times New Roman"/>
              </w:rPr>
              <w:t>93,1</w:t>
            </w:r>
          </w:p>
        </w:tc>
      </w:tr>
      <w:tr w:rsidR="00211EEF" w:rsidRPr="00B644BF" w:rsidTr="00211EEF">
        <w:tc>
          <w:tcPr>
            <w:tcW w:w="4361" w:type="dxa"/>
            <w:vAlign w:val="center"/>
            <w:hideMark/>
          </w:tcPr>
          <w:p w:rsidR="00211EEF" w:rsidRPr="00B644BF" w:rsidRDefault="00211EEF" w:rsidP="00211EEF">
            <w:pPr>
              <w:rPr>
                <w:rFonts w:ascii="Times New Roman" w:hAnsi="Times New Roman" w:cs="Times New Roman"/>
              </w:rPr>
            </w:pPr>
            <w:r w:rsidRPr="00B644BF">
              <w:rPr>
                <w:rFonts w:ascii="Times New Roman" w:hAnsi="Times New Roman" w:cs="Times New Roman"/>
              </w:rPr>
              <w:t>Удельный вес сельского населения в общей численности населения, %</w:t>
            </w:r>
          </w:p>
        </w:tc>
        <w:tc>
          <w:tcPr>
            <w:tcW w:w="1843" w:type="dxa"/>
            <w:vAlign w:val="center"/>
            <w:hideMark/>
          </w:tcPr>
          <w:p w:rsidR="00211EEF" w:rsidRPr="00B644BF" w:rsidRDefault="00211EEF" w:rsidP="00211EEF">
            <w:pPr>
              <w:jc w:val="center"/>
              <w:rPr>
                <w:rFonts w:ascii="Times New Roman" w:hAnsi="Times New Roman" w:cs="Times New Roman"/>
              </w:rPr>
            </w:pPr>
            <w:r w:rsidRPr="00B644BF">
              <w:rPr>
                <w:rFonts w:ascii="Times New Roman" w:hAnsi="Times New Roman" w:cs="Times New Roman"/>
              </w:rPr>
              <w:t>22,1</w:t>
            </w:r>
          </w:p>
        </w:tc>
        <w:tc>
          <w:tcPr>
            <w:tcW w:w="1548" w:type="dxa"/>
            <w:vAlign w:val="center"/>
            <w:hideMark/>
          </w:tcPr>
          <w:p w:rsidR="00211EEF" w:rsidRPr="00B644BF" w:rsidRDefault="00211EEF" w:rsidP="00211EEF">
            <w:pPr>
              <w:jc w:val="center"/>
              <w:rPr>
                <w:rFonts w:ascii="Times New Roman" w:hAnsi="Times New Roman" w:cs="Times New Roman"/>
              </w:rPr>
            </w:pPr>
            <w:r w:rsidRPr="00B644BF">
              <w:rPr>
                <w:rFonts w:ascii="Times New Roman" w:hAnsi="Times New Roman" w:cs="Times New Roman"/>
              </w:rPr>
              <w:t>21,1</w:t>
            </w:r>
          </w:p>
        </w:tc>
        <w:tc>
          <w:tcPr>
            <w:tcW w:w="0" w:type="auto"/>
            <w:vAlign w:val="center"/>
            <w:hideMark/>
          </w:tcPr>
          <w:p w:rsidR="00211EEF" w:rsidRPr="00B644BF" w:rsidRDefault="00211EEF" w:rsidP="00211EEF">
            <w:pPr>
              <w:jc w:val="center"/>
              <w:rPr>
                <w:rFonts w:ascii="Times New Roman" w:hAnsi="Times New Roman" w:cs="Times New Roman"/>
              </w:rPr>
            </w:pPr>
            <w:r w:rsidRPr="00B644BF">
              <w:rPr>
                <w:rFonts w:ascii="Times New Roman" w:hAnsi="Times New Roman" w:cs="Times New Roman"/>
              </w:rPr>
              <w:t>-1 п. п.</w:t>
            </w:r>
          </w:p>
        </w:tc>
      </w:tr>
      <w:tr w:rsidR="00211EEF" w:rsidRPr="00B644BF" w:rsidTr="00211EEF">
        <w:tc>
          <w:tcPr>
            <w:tcW w:w="4361" w:type="dxa"/>
            <w:vAlign w:val="center"/>
            <w:hideMark/>
          </w:tcPr>
          <w:p w:rsidR="00211EEF" w:rsidRPr="00B644BF" w:rsidRDefault="00211EEF" w:rsidP="00211EEF">
            <w:pPr>
              <w:rPr>
                <w:rFonts w:ascii="Times New Roman" w:hAnsi="Times New Roman" w:cs="Times New Roman"/>
              </w:rPr>
            </w:pPr>
            <w:r w:rsidRPr="00B644BF">
              <w:rPr>
                <w:rFonts w:ascii="Times New Roman" w:hAnsi="Times New Roman" w:cs="Times New Roman"/>
              </w:rPr>
              <w:t>Население моложе трудоспособного возраста, чел.</w:t>
            </w:r>
          </w:p>
        </w:tc>
        <w:tc>
          <w:tcPr>
            <w:tcW w:w="1843" w:type="dxa"/>
            <w:vAlign w:val="center"/>
            <w:hideMark/>
          </w:tcPr>
          <w:p w:rsidR="00211EEF" w:rsidRPr="00B644BF" w:rsidRDefault="00211EEF" w:rsidP="00211EEF">
            <w:pPr>
              <w:jc w:val="center"/>
              <w:rPr>
                <w:rFonts w:ascii="Times New Roman" w:hAnsi="Times New Roman" w:cs="Times New Roman"/>
              </w:rPr>
            </w:pPr>
            <w:r w:rsidRPr="00B644BF">
              <w:rPr>
                <w:rFonts w:ascii="Times New Roman" w:hAnsi="Times New Roman" w:cs="Times New Roman"/>
              </w:rPr>
              <w:t>338 637</w:t>
            </w:r>
          </w:p>
        </w:tc>
        <w:tc>
          <w:tcPr>
            <w:tcW w:w="1548" w:type="dxa"/>
            <w:vAlign w:val="center"/>
            <w:hideMark/>
          </w:tcPr>
          <w:p w:rsidR="00211EEF" w:rsidRPr="00B644BF" w:rsidRDefault="00211EEF" w:rsidP="00211EEF">
            <w:pPr>
              <w:jc w:val="center"/>
              <w:rPr>
                <w:rFonts w:ascii="Times New Roman" w:hAnsi="Times New Roman" w:cs="Times New Roman"/>
              </w:rPr>
            </w:pPr>
            <w:r w:rsidRPr="00B644BF">
              <w:rPr>
                <w:rFonts w:ascii="Times New Roman" w:hAnsi="Times New Roman" w:cs="Times New Roman"/>
              </w:rPr>
              <w:t>300 565</w:t>
            </w:r>
          </w:p>
        </w:tc>
        <w:tc>
          <w:tcPr>
            <w:tcW w:w="0" w:type="auto"/>
            <w:vAlign w:val="center"/>
            <w:hideMark/>
          </w:tcPr>
          <w:p w:rsidR="00211EEF" w:rsidRPr="00B644BF" w:rsidRDefault="00211EEF" w:rsidP="00211EEF">
            <w:pPr>
              <w:jc w:val="center"/>
              <w:rPr>
                <w:rFonts w:ascii="Times New Roman" w:hAnsi="Times New Roman" w:cs="Times New Roman"/>
              </w:rPr>
            </w:pPr>
            <w:r w:rsidRPr="00B644BF">
              <w:rPr>
                <w:rFonts w:ascii="Times New Roman" w:hAnsi="Times New Roman" w:cs="Times New Roman"/>
              </w:rPr>
              <w:t>88,8</w:t>
            </w:r>
          </w:p>
        </w:tc>
      </w:tr>
      <w:tr w:rsidR="00211EEF" w:rsidRPr="00B644BF" w:rsidTr="00211EEF">
        <w:tc>
          <w:tcPr>
            <w:tcW w:w="4361" w:type="dxa"/>
            <w:vAlign w:val="center"/>
            <w:hideMark/>
          </w:tcPr>
          <w:p w:rsidR="00211EEF" w:rsidRPr="00B644BF" w:rsidRDefault="00211EEF" w:rsidP="00211EEF">
            <w:pPr>
              <w:rPr>
                <w:rFonts w:ascii="Times New Roman" w:hAnsi="Times New Roman" w:cs="Times New Roman"/>
              </w:rPr>
            </w:pPr>
            <w:r w:rsidRPr="00B644BF">
              <w:rPr>
                <w:rFonts w:ascii="Times New Roman" w:hAnsi="Times New Roman" w:cs="Times New Roman"/>
              </w:rPr>
              <w:t>Население трудоспособного возраста, чел.</w:t>
            </w:r>
          </w:p>
        </w:tc>
        <w:tc>
          <w:tcPr>
            <w:tcW w:w="1843" w:type="dxa"/>
            <w:vAlign w:val="center"/>
            <w:hideMark/>
          </w:tcPr>
          <w:p w:rsidR="00211EEF" w:rsidRPr="00B644BF" w:rsidRDefault="00211EEF" w:rsidP="00211EEF">
            <w:pPr>
              <w:jc w:val="center"/>
              <w:rPr>
                <w:rFonts w:ascii="Times New Roman" w:hAnsi="Times New Roman" w:cs="Times New Roman"/>
              </w:rPr>
            </w:pPr>
            <w:r w:rsidRPr="00B644BF">
              <w:rPr>
                <w:rFonts w:ascii="Times New Roman" w:hAnsi="Times New Roman" w:cs="Times New Roman"/>
              </w:rPr>
              <w:t>1 109 603</w:t>
            </w:r>
          </w:p>
        </w:tc>
        <w:tc>
          <w:tcPr>
            <w:tcW w:w="1548" w:type="dxa"/>
            <w:vAlign w:val="center"/>
            <w:hideMark/>
          </w:tcPr>
          <w:p w:rsidR="00211EEF" w:rsidRPr="00B644BF" w:rsidRDefault="00211EEF" w:rsidP="00211EEF">
            <w:pPr>
              <w:jc w:val="center"/>
              <w:rPr>
                <w:rFonts w:ascii="Times New Roman" w:hAnsi="Times New Roman" w:cs="Times New Roman"/>
              </w:rPr>
            </w:pPr>
            <w:r w:rsidRPr="00B644BF">
              <w:rPr>
                <w:rFonts w:ascii="Times New Roman" w:hAnsi="Times New Roman" w:cs="Times New Roman"/>
              </w:rPr>
              <w:t>1 034 389</w:t>
            </w:r>
          </w:p>
        </w:tc>
        <w:tc>
          <w:tcPr>
            <w:tcW w:w="0" w:type="auto"/>
            <w:vAlign w:val="center"/>
            <w:hideMark/>
          </w:tcPr>
          <w:p w:rsidR="00211EEF" w:rsidRPr="00B644BF" w:rsidRDefault="00211EEF" w:rsidP="00211EEF">
            <w:pPr>
              <w:jc w:val="center"/>
              <w:rPr>
                <w:rFonts w:ascii="Times New Roman" w:hAnsi="Times New Roman" w:cs="Times New Roman"/>
              </w:rPr>
            </w:pPr>
            <w:r w:rsidRPr="00B644BF">
              <w:rPr>
                <w:rFonts w:ascii="Times New Roman" w:hAnsi="Times New Roman" w:cs="Times New Roman"/>
              </w:rPr>
              <w:t>93,2</w:t>
            </w:r>
          </w:p>
        </w:tc>
      </w:tr>
      <w:tr w:rsidR="00211EEF" w:rsidRPr="00B644BF" w:rsidTr="00211EEF">
        <w:tc>
          <w:tcPr>
            <w:tcW w:w="4361" w:type="dxa"/>
            <w:vAlign w:val="center"/>
            <w:hideMark/>
          </w:tcPr>
          <w:p w:rsidR="00211EEF" w:rsidRPr="00B644BF" w:rsidRDefault="00211EEF" w:rsidP="00211EEF">
            <w:pPr>
              <w:rPr>
                <w:rFonts w:ascii="Times New Roman" w:hAnsi="Times New Roman" w:cs="Times New Roman"/>
              </w:rPr>
            </w:pPr>
            <w:r w:rsidRPr="00B644BF">
              <w:rPr>
                <w:rFonts w:ascii="Times New Roman" w:hAnsi="Times New Roman" w:cs="Times New Roman"/>
              </w:rPr>
              <w:t>Списочная численность работников, занятых в сельском хозяйстве, тыс. чел.</w:t>
            </w:r>
          </w:p>
        </w:tc>
        <w:tc>
          <w:tcPr>
            <w:tcW w:w="1843" w:type="dxa"/>
            <w:vAlign w:val="center"/>
            <w:hideMark/>
          </w:tcPr>
          <w:p w:rsidR="00211EEF" w:rsidRPr="00B644BF" w:rsidRDefault="00211EEF" w:rsidP="00211EEF">
            <w:pPr>
              <w:jc w:val="center"/>
              <w:rPr>
                <w:rFonts w:ascii="Times New Roman" w:hAnsi="Times New Roman" w:cs="Times New Roman"/>
              </w:rPr>
            </w:pPr>
            <w:r w:rsidRPr="00B644BF">
              <w:rPr>
                <w:rFonts w:ascii="Times New Roman" w:hAnsi="Times New Roman" w:cs="Times New Roman"/>
              </w:rPr>
              <w:t>267,4</w:t>
            </w:r>
          </w:p>
        </w:tc>
        <w:tc>
          <w:tcPr>
            <w:tcW w:w="1548" w:type="dxa"/>
            <w:vAlign w:val="center"/>
            <w:hideMark/>
          </w:tcPr>
          <w:p w:rsidR="00211EEF" w:rsidRPr="00B644BF" w:rsidRDefault="00211EEF" w:rsidP="00211EEF">
            <w:pPr>
              <w:jc w:val="center"/>
              <w:rPr>
                <w:rFonts w:ascii="Times New Roman" w:hAnsi="Times New Roman" w:cs="Times New Roman"/>
              </w:rPr>
            </w:pPr>
            <w:r w:rsidRPr="00B644BF">
              <w:rPr>
                <w:rFonts w:ascii="Times New Roman" w:hAnsi="Times New Roman" w:cs="Times New Roman"/>
              </w:rPr>
              <w:t>236,7</w:t>
            </w:r>
          </w:p>
        </w:tc>
        <w:tc>
          <w:tcPr>
            <w:tcW w:w="0" w:type="auto"/>
            <w:vAlign w:val="center"/>
            <w:hideMark/>
          </w:tcPr>
          <w:p w:rsidR="00211EEF" w:rsidRPr="00B644BF" w:rsidRDefault="00211EEF" w:rsidP="00211EEF">
            <w:pPr>
              <w:jc w:val="center"/>
              <w:rPr>
                <w:rFonts w:ascii="Times New Roman" w:hAnsi="Times New Roman" w:cs="Times New Roman"/>
              </w:rPr>
            </w:pPr>
            <w:r w:rsidRPr="00B644BF">
              <w:rPr>
                <w:rFonts w:ascii="Times New Roman" w:hAnsi="Times New Roman" w:cs="Times New Roman"/>
              </w:rPr>
              <w:t>88,5</w:t>
            </w:r>
          </w:p>
        </w:tc>
      </w:tr>
      <w:tr w:rsidR="00211EEF" w:rsidRPr="00B644BF" w:rsidTr="00211EEF">
        <w:tc>
          <w:tcPr>
            <w:tcW w:w="4361" w:type="dxa"/>
            <w:vAlign w:val="center"/>
            <w:hideMark/>
          </w:tcPr>
          <w:p w:rsidR="00211EEF" w:rsidRPr="00B644BF" w:rsidRDefault="00211EEF" w:rsidP="00211EEF">
            <w:pPr>
              <w:rPr>
                <w:rFonts w:ascii="Times New Roman" w:hAnsi="Times New Roman" w:cs="Times New Roman"/>
              </w:rPr>
            </w:pPr>
            <w:r w:rsidRPr="00B644BF">
              <w:rPr>
                <w:rFonts w:ascii="Times New Roman" w:hAnsi="Times New Roman" w:cs="Times New Roman"/>
              </w:rPr>
              <w:t>Доля занятых в сельском хозяйстве в общей численности занятых в экономике, %</w:t>
            </w:r>
          </w:p>
        </w:tc>
        <w:tc>
          <w:tcPr>
            <w:tcW w:w="1843" w:type="dxa"/>
            <w:vAlign w:val="center"/>
            <w:hideMark/>
          </w:tcPr>
          <w:p w:rsidR="00211EEF" w:rsidRPr="00B644BF" w:rsidRDefault="00211EEF" w:rsidP="00211EEF">
            <w:pPr>
              <w:jc w:val="center"/>
              <w:rPr>
                <w:rFonts w:ascii="Times New Roman" w:hAnsi="Times New Roman" w:cs="Times New Roman"/>
              </w:rPr>
            </w:pPr>
            <w:r w:rsidRPr="00B644BF">
              <w:rPr>
                <w:rFonts w:ascii="Times New Roman" w:hAnsi="Times New Roman" w:cs="Times New Roman"/>
              </w:rPr>
              <w:t>7,2</w:t>
            </w:r>
          </w:p>
        </w:tc>
        <w:tc>
          <w:tcPr>
            <w:tcW w:w="1548" w:type="dxa"/>
            <w:vAlign w:val="center"/>
            <w:hideMark/>
          </w:tcPr>
          <w:p w:rsidR="00211EEF" w:rsidRPr="00B644BF" w:rsidRDefault="00211EEF" w:rsidP="00211EEF">
            <w:pPr>
              <w:jc w:val="center"/>
              <w:rPr>
                <w:rFonts w:ascii="Times New Roman" w:hAnsi="Times New Roman" w:cs="Times New Roman"/>
              </w:rPr>
            </w:pPr>
            <w:r w:rsidRPr="00B644BF">
              <w:rPr>
                <w:rFonts w:ascii="Times New Roman" w:hAnsi="Times New Roman" w:cs="Times New Roman"/>
              </w:rPr>
              <w:t>6,7</w:t>
            </w:r>
          </w:p>
        </w:tc>
        <w:tc>
          <w:tcPr>
            <w:tcW w:w="0" w:type="auto"/>
            <w:vAlign w:val="center"/>
            <w:hideMark/>
          </w:tcPr>
          <w:p w:rsidR="00211EEF" w:rsidRPr="00B644BF" w:rsidRDefault="00211EEF" w:rsidP="00211EEF">
            <w:pPr>
              <w:jc w:val="center"/>
              <w:rPr>
                <w:rFonts w:ascii="Times New Roman" w:hAnsi="Times New Roman" w:cs="Times New Roman"/>
              </w:rPr>
            </w:pPr>
            <w:r w:rsidRPr="00B644BF">
              <w:rPr>
                <w:rFonts w:ascii="Times New Roman" w:hAnsi="Times New Roman" w:cs="Times New Roman"/>
              </w:rPr>
              <w:t>-0,5 п. п.</w:t>
            </w:r>
          </w:p>
        </w:tc>
      </w:tr>
    </w:tbl>
    <w:p w:rsidR="001571A7" w:rsidRDefault="001571A7" w:rsidP="001571A7">
      <w:pPr>
        <w:spacing w:after="0" w:line="240" w:lineRule="auto"/>
        <w:ind w:firstLine="709"/>
        <w:jc w:val="both"/>
        <w:rPr>
          <w:rFonts w:ascii="Times New Roman" w:hAnsi="Times New Roman" w:cs="Times New Roman"/>
          <w:sz w:val="28"/>
          <w:szCs w:val="28"/>
        </w:rPr>
      </w:pPr>
    </w:p>
    <w:p w:rsidR="00211EEF" w:rsidRPr="00B644BF" w:rsidRDefault="00211EEF" w:rsidP="001571A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Данные таблицы 1 позволяют сделать вывод о том, что кадровая проблема в сельском хозяйстве Беларуси имеет не локальный, а системный характер. За 2020–2024 гг. численность работников, занятых в сельском хозяйстве, снизилась на 11,5 %, а доля отрасли в общей занятости снизилась с 7,2 до 6,7 %. Это означает, что сельское хозяйство теряет трудовые ресурсы быстрее, чем экономика в целом. При таком тренде устойчивость отрасли может обеспечиваться только при одновременном росте производительности труда и качественном обновлении кадрового состава.</w:t>
      </w:r>
    </w:p>
    <w:p w:rsidR="00211EEF" w:rsidRPr="00B644BF" w:rsidRDefault="00211EEF" w:rsidP="001571A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lastRenderedPageBreak/>
        <w:t xml:space="preserve">Следовательно, центральной задачей становится переход от экстенсивной модели кадрового обеспечения к интенсивной. Иначе говоря, отрасли требуется не столько простое восполнение численности, сколько формирование более компетентного, технологически подготовленного и мотивированного работника. </w:t>
      </w:r>
    </w:p>
    <w:p w:rsidR="00211EEF" w:rsidRPr="00B644BF" w:rsidRDefault="00211EEF" w:rsidP="001571A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В этом смысле кадровый потенциал выступает не как статический запас рабочей силы, а как источник роста эффективности и инновационной восприимчивости аграрного производства [3, с. 39; 5, с. 112].</w:t>
      </w:r>
    </w:p>
    <w:p w:rsidR="00211EEF" w:rsidRPr="00B644BF" w:rsidRDefault="00211EEF" w:rsidP="001571A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Качественная сторона кадрового потенциала сегодня выходит на первый план. Сельское хозяйство уже не может опираться только на традиционный опыт. Распространение точного земледелия, автоматизированных систем кормления, цифрового мониторинга, программ учета и аналитики требует новых профессиональных компетенций. Работник современного аграрного предприятия должен сочетать базовые производственные навыки с готовностью к работе с техникой, данными и цифровыми сервисами. Поэтому дефицит кадров в АПК все чаще проявляется не как абсолютная нехватка людей, а как дефицит специалистов нужного уровня подготовки [1, с. 74; 3, с. 41].</w:t>
      </w:r>
    </w:p>
    <w:p w:rsidR="00211EEF" w:rsidRPr="00B644BF" w:rsidRDefault="00211EEF" w:rsidP="001571A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Вместе с тем сельское хозяйство Республики Беларусь демонстрирует рост результативности труда, что свидетельствует о наличии внутренних резервов развития – таблица 2.</w:t>
      </w:r>
    </w:p>
    <w:p w:rsidR="00211EEF" w:rsidRPr="00B644BF" w:rsidRDefault="00211EEF" w:rsidP="001571A7">
      <w:pPr>
        <w:spacing w:after="0" w:line="240" w:lineRule="auto"/>
        <w:ind w:firstLine="709"/>
        <w:jc w:val="both"/>
        <w:rPr>
          <w:rFonts w:ascii="Times New Roman" w:hAnsi="Times New Roman" w:cs="Times New Roman"/>
          <w:sz w:val="28"/>
          <w:szCs w:val="28"/>
        </w:rPr>
      </w:pPr>
    </w:p>
    <w:p w:rsidR="00211EEF" w:rsidRPr="00B644BF" w:rsidRDefault="00211EEF" w:rsidP="00211EEF">
      <w:pPr>
        <w:jc w:val="both"/>
        <w:rPr>
          <w:rFonts w:ascii="Times New Roman" w:hAnsi="Times New Roman" w:cs="Times New Roman"/>
          <w:sz w:val="28"/>
          <w:szCs w:val="28"/>
        </w:rPr>
      </w:pPr>
      <w:r w:rsidRPr="00B644BF">
        <w:rPr>
          <w:rFonts w:ascii="Times New Roman" w:hAnsi="Times New Roman" w:cs="Times New Roman"/>
          <w:bCs/>
          <w:sz w:val="28"/>
          <w:szCs w:val="28"/>
        </w:rPr>
        <w:t>Таблица 2 – Показатели эффективности использования трудовых ресурсов в сельском хозяйстве Республики Беларусь</w:t>
      </w:r>
    </w:p>
    <w:tbl>
      <w:tblPr>
        <w:tblStyle w:val="af2"/>
        <w:tblW w:w="0" w:type="auto"/>
        <w:tblLook w:val="04A0"/>
      </w:tblPr>
      <w:tblGrid>
        <w:gridCol w:w="5353"/>
        <w:gridCol w:w="1134"/>
        <w:gridCol w:w="1276"/>
        <w:gridCol w:w="1523"/>
      </w:tblGrid>
      <w:tr w:rsidR="00211EEF" w:rsidRPr="00B644BF" w:rsidTr="00211EEF">
        <w:tc>
          <w:tcPr>
            <w:tcW w:w="5353" w:type="dxa"/>
            <w:vAlign w:val="center"/>
            <w:hideMark/>
          </w:tcPr>
          <w:p w:rsidR="00211EEF" w:rsidRPr="00B644BF" w:rsidRDefault="00211EEF" w:rsidP="00211EEF">
            <w:pPr>
              <w:jc w:val="center"/>
              <w:rPr>
                <w:rFonts w:ascii="Times New Roman" w:hAnsi="Times New Roman" w:cs="Times New Roman"/>
                <w:bCs/>
              </w:rPr>
            </w:pPr>
            <w:r w:rsidRPr="00B644BF">
              <w:rPr>
                <w:rFonts w:ascii="Times New Roman" w:hAnsi="Times New Roman" w:cs="Times New Roman"/>
                <w:bCs/>
              </w:rPr>
              <w:t>Показатель</w:t>
            </w:r>
          </w:p>
        </w:tc>
        <w:tc>
          <w:tcPr>
            <w:tcW w:w="1134" w:type="dxa"/>
            <w:vAlign w:val="center"/>
            <w:hideMark/>
          </w:tcPr>
          <w:p w:rsidR="00211EEF" w:rsidRPr="00B644BF" w:rsidRDefault="00211EEF" w:rsidP="00211EEF">
            <w:pPr>
              <w:jc w:val="center"/>
              <w:rPr>
                <w:rFonts w:ascii="Times New Roman" w:hAnsi="Times New Roman" w:cs="Times New Roman"/>
                <w:bCs/>
              </w:rPr>
            </w:pPr>
            <w:r w:rsidRPr="00B644BF">
              <w:rPr>
                <w:rFonts w:ascii="Times New Roman" w:hAnsi="Times New Roman" w:cs="Times New Roman"/>
                <w:bCs/>
              </w:rPr>
              <w:t>2020 г.</w:t>
            </w:r>
          </w:p>
        </w:tc>
        <w:tc>
          <w:tcPr>
            <w:tcW w:w="1276" w:type="dxa"/>
            <w:vAlign w:val="center"/>
            <w:hideMark/>
          </w:tcPr>
          <w:p w:rsidR="00211EEF" w:rsidRPr="00B644BF" w:rsidRDefault="00211EEF" w:rsidP="00211EEF">
            <w:pPr>
              <w:jc w:val="center"/>
              <w:rPr>
                <w:rFonts w:ascii="Times New Roman" w:hAnsi="Times New Roman" w:cs="Times New Roman"/>
                <w:bCs/>
              </w:rPr>
            </w:pPr>
            <w:r w:rsidRPr="00B644BF">
              <w:rPr>
                <w:rFonts w:ascii="Times New Roman" w:hAnsi="Times New Roman" w:cs="Times New Roman"/>
                <w:bCs/>
              </w:rPr>
              <w:t>2024 г.</w:t>
            </w:r>
          </w:p>
        </w:tc>
        <w:tc>
          <w:tcPr>
            <w:tcW w:w="1523" w:type="dxa"/>
            <w:vAlign w:val="center"/>
            <w:hideMark/>
          </w:tcPr>
          <w:p w:rsidR="00211EEF" w:rsidRPr="00B644BF" w:rsidRDefault="00211EEF" w:rsidP="00211EEF">
            <w:pPr>
              <w:jc w:val="center"/>
              <w:rPr>
                <w:rFonts w:ascii="Times New Roman" w:hAnsi="Times New Roman" w:cs="Times New Roman"/>
                <w:bCs/>
              </w:rPr>
            </w:pPr>
            <w:r w:rsidRPr="00B644BF">
              <w:rPr>
                <w:rFonts w:ascii="Times New Roman" w:hAnsi="Times New Roman" w:cs="Times New Roman"/>
                <w:bCs/>
              </w:rPr>
              <w:t xml:space="preserve">2024 г. </w:t>
            </w:r>
          </w:p>
          <w:p w:rsidR="00211EEF" w:rsidRPr="00B644BF" w:rsidRDefault="00211EEF" w:rsidP="00211EEF">
            <w:pPr>
              <w:jc w:val="center"/>
              <w:rPr>
                <w:rFonts w:ascii="Times New Roman" w:hAnsi="Times New Roman" w:cs="Times New Roman"/>
                <w:bCs/>
              </w:rPr>
            </w:pPr>
            <w:r w:rsidRPr="00B644BF">
              <w:rPr>
                <w:rFonts w:ascii="Times New Roman" w:hAnsi="Times New Roman" w:cs="Times New Roman"/>
                <w:bCs/>
              </w:rPr>
              <w:t>к 2020 г., %</w:t>
            </w:r>
          </w:p>
        </w:tc>
      </w:tr>
      <w:tr w:rsidR="00211EEF" w:rsidRPr="00B644BF" w:rsidTr="00211EEF">
        <w:tc>
          <w:tcPr>
            <w:tcW w:w="5353" w:type="dxa"/>
            <w:vAlign w:val="center"/>
            <w:hideMark/>
          </w:tcPr>
          <w:p w:rsidR="00211EEF" w:rsidRPr="00B644BF" w:rsidRDefault="00211EEF" w:rsidP="00211EEF">
            <w:pPr>
              <w:rPr>
                <w:rFonts w:ascii="Times New Roman" w:hAnsi="Times New Roman" w:cs="Times New Roman"/>
              </w:rPr>
            </w:pPr>
            <w:r w:rsidRPr="00B644BF">
              <w:rPr>
                <w:rFonts w:ascii="Times New Roman" w:hAnsi="Times New Roman" w:cs="Times New Roman"/>
              </w:rPr>
              <w:t>Номинальная начисленная среднемесячная заработная плата, руб.</w:t>
            </w:r>
          </w:p>
        </w:tc>
        <w:tc>
          <w:tcPr>
            <w:tcW w:w="1134" w:type="dxa"/>
            <w:vAlign w:val="center"/>
            <w:hideMark/>
          </w:tcPr>
          <w:p w:rsidR="00211EEF" w:rsidRPr="00B644BF" w:rsidRDefault="00211EEF" w:rsidP="00211EEF">
            <w:pPr>
              <w:jc w:val="center"/>
              <w:rPr>
                <w:rFonts w:ascii="Times New Roman" w:hAnsi="Times New Roman" w:cs="Times New Roman"/>
              </w:rPr>
            </w:pPr>
            <w:r w:rsidRPr="00B644BF">
              <w:rPr>
                <w:rFonts w:ascii="Times New Roman" w:hAnsi="Times New Roman" w:cs="Times New Roman"/>
              </w:rPr>
              <w:t>880,4</w:t>
            </w:r>
          </w:p>
        </w:tc>
        <w:tc>
          <w:tcPr>
            <w:tcW w:w="1276" w:type="dxa"/>
            <w:vAlign w:val="center"/>
            <w:hideMark/>
          </w:tcPr>
          <w:p w:rsidR="00211EEF" w:rsidRPr="00B644BF" w:rsidRDefault="00211EEF" w:rsidP="00211EEF">
            <w:pPr>
              <w:jc w:val="center"/>
              <w:rPr>
                <w:rFonts w:ascii="Times New Roman" w:hAnsi="Times New Roman" w:cs="Times New Roman"/>
              </w:rPr>
            </w:pPr>
            <w:r w:rsidRPr="00B644BF">
              <w:rPr>
                <w:rFonts w:ascii="Times New Roman" w:hAnsi="Times New Roman" w:cs="Times New Roman"/>
              </w:rPr>
              <w:t>1797,1</w:t>
            </w:r>
          </w:p>
        </w:tc>
        <w:tc>
          <w:tcPr>
            <w:tcW w:w="1523" w:type="dxa"/>
            <w:vAlign w:val="center"/>
            <w:hideMark/>
          </w:tcPr>
          <w:p w:rsidR="00211EEF" w:rsidRPr="00B644BF" w:rsidRDefault="00211EEF" w:rsidP="00211EEF">
            <w:pPr>
              <w:jc w:val="center"/>
              <w:rPr>
                <w:rFonts w:ascii="Times New Roman" w:hAnsi="Times New Roman" w:cs="Times New Roman"/>
              </w:rPr>
            </w:pPr>
            <w:r w:rsidRPr="00B644BF">
              <w:rPr>
                <w:rFonts w:ascii="Times New Roman" w:hAnsi="Times New Roman" w:cs="Times New Roman"/>
              </w:rPr>
              <w:t>204,1</w:t>
            </w:r>
          </w:p>
        </w:tc>
      </w:tr>
      <w:tr w:rsidR="00211EEF" w:rsidRPr="00B644BF" w:rsidTr="00211EEF">
        <w:tc>
          <w:tcPr>
            <w:tcW w:w="5353" w:type="dxa"/>
            <w:vAlign w:val="center"/>
            <w:hideMark/>
          </w:tcPr>
          <w:p w:rsidR="00211EEF" w:rsidRPr="00B644BF" w:rsidRDefault="00211EEF" w:rsidP="00211EEF">
            <w:pPr>
              <w:rPr>
                <w:rFonts w:ascii="Times New Roman" w:hAnsi="Times New Roman" w:cs="Times New Roman"/>
              </w:rPr>
            </w:pPr>
            <w:r w:rsidRPr="00B644BF">
              <w:rPr>
                <w:rFonts w:ascii="Times New Roman" w:hAnsi="Times New Roman" w:cs="Times New Roman"/>
              </w:rPr>
              <w:t>Производительность труда, тыс. руб./чел.</w:t>
            </w:r>
          </w:p>
        </w:tc>
        <w:tc>
          <w:tcPr>
            <w:tcW w:w="1134" w:type="dxa"/>
            <w:vAlign w:val="center"/>
            <w:hideMark/>
          </w:tcPr>
          <w:p w:rsidR="00211EEF" w:rsidRPr="00B644BF" w:rsidRDefault="00211EEF" w:rsidP="00211EEF">
            <w:pPr>
              <w:jc w:val="center"/>
              <w:rPr>
                <w:rFonts w:ascii="Times New Roman" w:hAnsi="Times New Roman" w:cs="Times New Roman"/>
              </w:rPr>
            </w:pPr>
            <w:r w:rsidRPr="00B644BF">
              <w:rPr>
                <w:rFonts w:ascii="Times New Roman" w:hAnsi="Times New Roman" w:cs="Times New Roman"/>
              </w:rPr>
              <w:t>74,69</w:t>
            </w:r>
          </w:p>
        </w:tc>
        <w:tc>
          <w:tcPr>
            <w:tcW w:w="1276" w:type="dxa"/>
            <w:vAlign w:val="center"/>
            <w:hideMark/>
          </w:tcPr>
          <w:p w:rsidR="00211EEF" w:rsidRPr="00B644BF" w:rsidRDefault="00211EEF" w:rsidP="00211EEF">
            <w:pPr>
              <w:jc w:val="center"/>
              <w:rPr>
                <w:rFonts w:ascii="Times New Roman" w:hAnsi="Times New Roman" w:cs="Times New Roman"/>
              </w:rPr>
            </w:pPr>
            <w:r w:rsidRPr="00B644BF">
              <w:rPr>
                <w:rFonts w:ascii="Times New Roman" w:hAnsi="Times New Roman" w:cs="Times New Roman"/>
              </w:rPr>
              <w:t>134,78</w:t>
            </w:r>
          </w:p>
        </w:tc>
        <w:tc>
          <w:tcPr>
            <w:tcW w:w="1523" w:type="dxa"/>
            <w:vAlign w:val="center"/>
            <w:hideMark/>
          </w:tcPr>
          <w:p w:rsidR="00211EEF" w:rsidRPr="00B644BF" w:rsidRDefault="00211EEF" w:rsidP="00211EEF">
            <w:pPr>
              <w:jc w:val="center"/>
              <w:rPr>
                <w:rFonts w:ascii="Times New Roman" w:hAnsi="Times New Roman" w:cs="Times New Roman"/>
              </w:rPr>
            </w:pPr>
            <w:r w:rsidRPr="00B644BF">
              <w:rPr>
                <w:rFonts w:ascii="Times New Roman" w:hAnsi="Times New Roman" w:cs="Times New Roman"/>
              </w:rPr>
              <w:t>180,5</w:t>
            </w:r>
          </w:p>
        </w:tc>
      </w:tr>
      <w:tr w:rsidR="00211EEF" w:rsidRPr="00B644BF" w:rsidTr="00211EEF">
        <w:tc>
          <w:tcPr>
            <w:tcW w:w="5353" w:type="dxa"/>
            <w:vAlign w:val="center"/>
            <w:hideMark/>
          </w:tcPr>
          <w:p w:rsidR="00211EEF" w:rsidRPr="00B644BF" w:rsidRDefault="00211EEF" w:rsidP="00211EEF">
            <w:pPr>
              <w:rPr>
                <w:rFonts w:ascii="Times New Roman" w:hAnsi="Times New Roman" w:cs="Times New Roman"/>
              </w:rPr>
            </w:pPr>
            <w:r w:rsidRPr="00B644BF">
              <w:rPr>
                <w:rFonts w:ascii="Times New Roman" w:hAnsi="Times New Roman" w:cs="Times New Roman"/>
              </w:rPr>
              <w:t>Прибыль от реализации на 1 работника, тыс. руб.</w:t>
            </w:r>
          </w:p>
        </w:tc>
        <w:tc>
          <w:tcPr>
            <w:tcW w:w="1134" w:type="dxa"/>
            <w:vAlign w:val="center"/>
            <w:hideMark/>
          </w:tcPr>
          <w:p w:rsidR="00211EEF" w:rsidRPr="00B644BF" w:rsidRDefault="00211EEF" w:rsidP="00211EEF">
            <w:pPr>
              <w:jc w:val="center"/>
              <w:rPr>
                <w:rFonts w:ascii="Times New Roman" w:hAnsi="Times New Roman" w:cs="Times New Roman"/>
              </w:rPr>
            </w:pPr>
            <w:r w:rsidRPr="00B644BF">
              <w:rPr>
                <w:rFonts w:ascii="Times New Roman" w:hAnsi="Times New Roman" w:cs="Times New Roman"/>
              </w:rPr>
              <w:t>2,99</w:t>
            </w:r>
          </w:p>
        </w:tc>
        <w:tc>
          <w:tcPr>
            <w:tcW w:w="1276" w:type="dxa"/>
            <w:vAlign w:val="center"/>
            <w:hideMark/>
          </w:tcPr>
          <w:p w:rsidR="00211EEF" w:rsidRPr="00B644BF" w:rsidRDefault="00211EEF" w:rsidP="00211EEF">
            <w:pPr>
              <w:jc w:val="center"/>
              <w:rPr>
                <w:rFonts w:ascii="Times New Roman" w:hAnsi="Times New Roman" w:cs="Times New Roman"/>
              </w:rPr>
            </w:pPr>
            <w:r w:rsidRPr="00B644BF">
              <w:rPr>
                <w:rFonts w:ascii="Times New Roman" w:hAnsi="Times New Roman" w:cs="Times New Roman"/>
              </w:rPr>
              <w:t>6,55</w:t>
            </w:r>
          </w:p>
        </w:tc>
        <w:tc>
          <w:tcPr>
            <w:tcW w:w="1523" w:type="dxa"/>
            <w:vAlign w:val="center"/>
            <w:hideMark/>
          </w:tcPr>
          <w:p w:rsidR="00211EEF" w:rsidRPr="00B644BF" w:rsidRDefault="00211EEF" w:rsidP="00211EEF">
            <w:pPr>
              <w:jc w:val="center"/>
              <w:rPr>
                <w:rFonts w:ascii="Times New Roman" w:hAnsi="Times New Roman" w:cs="Times New Roman"/>
              </w:rPr>
            </w:pPr>
            <w:r w:rsidRPr="00B644BF">
              <w:rPr>
                <w:rFonts w:ascii="Times New Roman" w:hAnsi="Times New Roman" w:cs="Times New Roman"/>
              </w:rPr>
              <w:t>219,1</w:t>
            </w:r>
          </w:p>
        </w:tc>
      </w:tr>
      <w:tr w:rsidR="00211EEF" w:rsidRPr="00B644BF" w:rsidTr="00211EEF">
        <w:tc>
          <w:tcPr>
            <w:tcW w:w="5353" w:type="dxa"/>
            <w:vAlign w:val="center"/>
            <w:hideMark/>
          </w:tcPr>
          <w:p w:rsidR="00211EEF" w:rsidRPr="00B644BF" w:rsidRDefault="00211EEF" w:rsidP="00211EEF">
            <w:pPr>
              <w:rPr>
                <w:rFonts w:ascii="Times New Roman" w:hAnsi="Times New Roman" w:cs="Times New Roman"/>
              </w:rPr>
            </w:pPr>
            <w:r w:rsidRPr="00B644BF">
              <w:rPr>
                <w:rFonts w:ascii="Times New Roman" w:hAnsi="Times New Roman" w:cs="Times New Roman"/>
              </w:rPr>
              <w:t>Чистая прибыль на 1 работника, тыс. руб.</w:t>
            </w:r>
          </w:p>
        </w:tc>
        <w:tc>
          <w:tcPr>
            <w:tcW w:w="1134" w:type="dxa"/>
            <w:vAlign w:val="center"/>
            <w:hideMark/>
          </w:tcPr>
          <w:p w:rsidR="00211EEF" w:rsidRPr="00B644BF" w:rsidRDefault="00211EEF" w:rsidP="00211EEF">
            <w:pPr>
              <w:jc w:val="center"/>
              <w:rPr>
                <w:rFonts w:ascii="Times New Roman" w:hAnsi="Times New Roman" w:cs="Times New Roman"/>
              </w:rPr>
            </w:pPr>
            <w:r w:rsidRPr="00B644BF">
              <w:rPr>
                <w:rFonts w:ascii="Times New Roman" w:hAnsi="Times New Roman" w:cs="Times New Roman"/>
              </w:rPr>
              <w:t>3,40</w:t>
            </w:r>
          </w:p>
        </w:tc>
        <w:tc>
          <w:tcPr>
            <w:tcW w:w="1276" w:type="dxa"/>
            <w:vAlign w:val="center"/>
            <w:hideMark/>
          </w:tcPr>
          <w:p w:rsidR="00211EEF" w:rsidRPr="00B644BF" w:rsidRDefault="00211EEF" w:rsidP="00211EEF">
            <w:pPr>
              <w:jc w:val="center"/>
              <w:rPr>
                <w:rFonts w:ascii="Times New Roman" w:hAnsi="Times New Roman" w:cs="Times New Roman"/>
              </w:rPr>
            </w:pPr>
            <w:r w:rsidRPr="00B644BF">
              <w:rPr>
                <w:rFonts w:ascii="Times New Roman" w:hAnsi="Times New Roman" w:cs="Times New Roman"/>
              </w:rPr>
              <w:t>8,75</w:t>
            </w:r>
          </w:p>
        </w:tc>
        <w:tc>
          <w:tcPr>
            <w:tcW w:w="1523" w:type="dxa"/>
            <w:vAlign w:val="center"/>
            <w:hideMark/>
          </w:tcPr>
          <w:p w:rsidR="00211EEF" w:rsidRPr="00B644BF" w:rsidRDefault="00211EEF" w:rsidP="00211EEF">
            <w:pPr>
              <w:jc w:val="center"/>
              <w:rPr>
                <w:rFonts w:ascii="Times New Roman" w:hAnsi="Times New Roman" w:cs="Times New Roman"/>
              </w:rPr>
            </w:pPr>
            <w:r w:rsidRPr="00B644BF">
              <w:rPr>
                <w:rFonts w:ascii="Times New Roman" w:hAnsi="Times New Roman" w:cs="Times New Roman"/>
              </w:rPr>
              <w:t>257,4</w:t>
            </w:r>
          </w:p>
        </w:tc>
      </w:tr>
    </w:tbl>
    <w:p w:rsidR="00211EEF" w:rsidRPr="00B644BF" w:rsidRDefault="00211EEF" w:rsidP="001571A7">
      <w:pPr>
        <w:spacing w:after="0" w:line="240" w:lineRule="auto"/>
        <w:ind w:firstLine="709"/>
        <w:jc w:val="both"/>
        <w:rPr>
          <w:rFonts w:ascii="Times New Roman" w:hAnsi="Times New Roman" w:cs="Times New Roman"/>
          <w:sz w:val="28"/>
          <w:szCs w:val="28"/>
        </w:rPr>
      </w:pPr>
    </w:p>
    <w:p w:rsidR="00211EEF" w:rsidRPr="00B644BF" w:rsidRDefault="00211EEF" w:rsidP="001571A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Рост заработной платы (+104,1%), производительности труда (+80,5 %) и прибыли в расчете на одного работника (+157,4 %) отражает модернизационные сдвиги в отрасли, однако сам по себе не снимает кадровых ограничений. Если повышение оплаты не сопровождается улучшением условий жизни и труда на селе, организационными изменениями и карьерными перспективами, эффект удержания кадров остается ограниченным.</w:t>
      </w:r>
    </w:p>
    <w:p w:rsidR="00211EEF" w:rsidRPr="00B644BF" w:rsidRDefault="00211EEF" w:rsidP="001571A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Поэтому развитие кадрового потенциала должно строиться на устранении причин, сдерживающих приток и закрепление кадров в отрасли [2, с. 173; 4, с. 392; 5, с. 246].</w:t>
      </w:r>
    </w:p>
    <w:p w:rsidR="00211EEF" w:rsidRPr="00B644BF" w:rsidRDefault="00211EEF" w:rsidP="001571A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Во-первых, требуется усиление территориальной политики закрепления населения на селе. Это предполагает приоритетное развитие </w:t>
      </w:r>
      <w:r w:rsidRPr="00B644BF">
        <w:rPr>
          <w:rFonts w:ascii="Times New Roman" w:hAnsi="Times New Roman" w:cs="Times New Roman"/>
          <w:sz w:val="28"/>
          <w:szCs w:val="28"/>
        </w:rPr>
        <w:lastRenderedPageBreak/>
        <w:t>жилья, транспорта, связи, медицины, дошкольного и школьного образования в аграрных районах. Без повышения качества сельской среды невозможно обеспечить воспроизводство кадров даже при росте заработной платы.</w:t>
      </w:r>
    </w:p>
    <w:p w:rsidR="00211EEF" w:rsidRPr="00B644BF" w:rsidRDefault="00211EEF" w:rsidP="001571A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Во-вторых, необходимо углубление интеграции образования, науки и производства. Для аграрного сектора целесообразно расширять целевой набор, создавать базовые кафедры на предприятиях, развивать систему стажировок и наставничества, а также формировать у студентов устойчивую практическую связь с будущим местом работы. Это позволит сократить разрыв между квалификацией выпускников и потребностями работодателей [2, с. 178; 3, с. 43].</w:t>
      </w:r>
    </w:p>
    <w:p w:rsidR="00211EEF" w:rsidRPr="00B644BF" w:rsidRDefault="00211EEF" w:rsidP="001571A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В-третьих, особое значение имеет цифровая модернизация кадровой работы. Речь идет не только об оснащении предприятий техникой, но и о переобучении персонала, формировании цифровых компетенций у руководителей и специалистов, внедрении современных методов планирования занятости, оценки результативности и управления производственными процессами. В условиях цифровизации выигрывают те хозяйства, которые развивают персонал на опережение, а не реагируют на кадровый дефицит постфактум [1, с. 79; 3, с. 42].</w:t>
      </w:r>
    </w:p>
    <w:p w:rsidR="00211EEF" w:rsidRPr="00B644BF" w:rsidRDefault="00211EEF" w:rsidP="001571A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В-четвертых, должна совершенствоваться система мотивации. Для аграрного труда особенно важна увязка оплаты с результатами, качеством работы и освоением новых технологий. Но не менее важны нематериальные стимулы: служебное жилье, социальный пакет, обучение за счет работодателя, карьерные траектории, корпоративная поддержка молодых специалистов. Именно сочетание экономических и социальных мер обеспечивает долгосрочное закрепление кадров в отрасли [5, с. 312; 6, с. 118].</w:t>
      </w:r>
    </w:p>
    <w:p w:rsidR="00211EEF" w:rsidRPr="00B644BF" w:rsidRDefault="00211EEF" w:rsidP="001571A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Таким образом, проведенный анализ позволяет сделать вывод, что кадровый потенциал сельского хозяйства Республики Беларусь формируется в условиях противоречивого сочетания негативных демографических тенденций и позитивных экономических результатов. Ключевая проблема состоит в том, что дефицит кадров в АПК носит не только численный, но и структурный характер. Отрасли нужны специалисты, способные работать в условиях цифровизации, технологической модернизации и ужесточения требований к эффективности производства. Поэтому развитие кадрового потенциала должно включать комплекс взаимосвязанных мер: повышение привлекательности жизни на селе, укрепление социальной инфраструктуры, интеграцию образования и работодателей, развитие целевой подготовки, совершенствование мотивации труда и внедрение современных подходов к управлению персоналом.</w:t>
      </w:r>
    </w:p>
    <w:p w:rsidR="001571A7" w:rsidRDefault="001571A7" w:rsidP="001571A7">
      <w:pPr>
        <w:spacing w:after="0" w:line="240" w:lineRule="auto"/>
        <w:jc w:val="center"/>
        <w:rPr>
          <w:rFonts w:ascii="Times New Roman" w:hAnsi="Times New Roman" w:cs="Times New Roman"/>
          <w:b/>
          <w:sz w:val="28"/>
        </w:rPr>
      </w:pPr>
    </w:p>
    <w:p w:rsidR="004611AA" w:rsidRDefault="004611AA" w:rsidP="001571A7">
      <w:pPr>
        <w:spacing w:after="0" w:line="240" w:lineRule="auto"/>
        <w:jc w:val="center"/>
        <w:rPr>
          <w:rFonts w:ascii="Times New Roman" w:hAnsi="Times New Roman" w:cs="Times New Roman"/>
          <w:b/>
          <w:sz w:val="28"/>
        </w:rPr>
      </w:pPr>
    </w:p>
    <w:p w:rsidR="00211EEF" w:rsidRPr="00B644BF" w:rsidRDefault="001571A7" w:rsidP="001571A7">
      <w:pPr>
        <w:spacing w:after="0" w:line="240" w:lineRule="auto"/>
        <w:jc w:val="center"/>
        <w:rPr>
          <w:rFonts w:ascii="Times New Roman" w:hAnsi="Times New Roman" w:cs="Times New Roman"/>
          <w:b/>
          <w:caps/>
          <w:sz w:val="28"/>
        </w:rPr>
      </w:pPr>
      <w:r>
        <w:rPr>
          <w:rFonts w:ascii="Times New Roman" w:hAnsi="Times New Roman" w:cs="Times New Roman"/>
          <w:b/>
          <w:sz w:val="28"/>
        </w:rPr>
        <w:lastRenderedPageBreak/>
        <w:t>С</w:t>
      </w:r>
      <w:r w:rsidRPr="00B644BF">
        <w:rPr>
          <w:rFonts w:ascii="Times New Roman" w:hAnsi="Times New Roman" w:cs="Times New Roman"/>
          <w:b/>
          <w:sz w:val="28"/>
        </w:rPr>
        <w:t>писок литературы</w:t>
      </w:r>
    </w:p>
    <w:p w:rsidR="00211EEF" w:rsidRPr="001571A7" w:rsidRDefault="00211EEF" w:rsidP="001571A7">
      <w:pPr>
        <w:spacing w:after="0" w:line="240" w:lineRule="auto"/>
        <w:ind w:firstLine="709"/>
        <w:jc w:val="both"/>
        <w:rPr>
          <w:rFonts w:ascii="Times New Roman" w:hAnsi="Times New Roman" w:cs="Times New Roman"/>
          <w:sz w:val="24"/>
          <w:szCs w:val="24"/>
          <w:lang w:val="be-BY"/>
        </w:rPr>
      </w:pPr>
      <w:r w:rsidRPr="001571A7">
        <w:rPr>
          <w:rFonts w:ascii="Times New Roman" w:hAnsi="Times New Roman" w:cs="Times New Roman"/>
          <w:sz w:val="24"/>
          <w:szCs w:val="24"/>
          <w:lang w:val="be-BY"/>
        </w:rPr>
        <w:t>1. Драница, В. П. Использование человеческого капитала в условиях цифровизации агропромышленного комплекса Республики Беларусь / В. П. Драница, В. М. Синельников, С. В. Бондарь, А. И. Попов // Вопросы современной науки и практики. Университет им. В. И. Вернадского. – 2023. – № 1(87). – С. 71–80.</w:t>
      </w:r>
    </w:p>
    <w:p w:rsidR="00211EEF" w:rsidRPr="001571A7" w:rsidRDefault="00211EEF" w:rsidP="001571A7">
      <w:pPr>
        <w:spacing w:after="0" w:line="240" w:lineRule="auto"/>
        <w:ind w:firstLine="709"/>
        <w:jc w:val="both"/>
        <w:rPr>
          <w:rFonts w:ascii="Times New Roman" w:hAnsi="Times New Roman" w:cs="Times New Roman"/>
          <w:sz w:val="24"/>
          <w:szCs w:val="24"/>
          <w:lang w:val="be-BY"/>
        </w:rPr>
      </w:pPr>
      <w:r w:rsidRPr="001571A7">
        <w:rPr>
          <w:rFonts w:ascii="Times New Roman" w:hAnsi="Times New Roman" w:cs="Times New Roman"/>
          <w:sz w:val="24"/>
          <w:szCs w:val="24"/>
          <w:lang w:val="be-BY"/>
        </w:rPr>
        <w:t>2. Пашкевич, О. А. Национальный и европейский опыт привлечения кадров в сельское хозяйство: актуальные тенденции / О. А. Пашкевич, В. О. Левкина // Экономические вопросы развития сельского хозяйства Беларуси. – 2023. – № 51. – С. 169–181.</w:t>
      </w:r>
    </w:p>
    <w:p w:rsidR="00211EEF" w:rsidRPr="001571A7" w:rsidRDefault="00211EEF" w:rsidP="001571A7">
      <w:pPr>
        <w:spacing w:after="0" w:line="240" w:lineRule="auto"/>
        <w:ind w:firstLine="709"/>
        <w:jc w:val="both"/>
        <w:rPr>
          <w:rFonts w:ascii="Times New Roman" w:hAnsi="Times New Roman" w:cs="Times New Roman"/>
          <w:sz w:val="24"/>
          <w:szCs w:val="24"/>
          <w:lang w:val="be-BY"/>
        </w:rPr>
      </w:pPr>
      <w:r w:rsidRPr="001571A7">
        <w:rPr>
          <w:rFonts w:ascii="Times New Roman" w:hAnsi="Times New Roman" w:cs="Times New Roman"/>
          <w:sz w:val="24"/>
          <w:szCs w:val="24"/>
          <w:lang w:val="be-BY"/>
        </w:rPr>
        <w:t>3. Тетеринец, Т. Инновационная восприимчивость кадрового потенциала АПК Беларуси / Т. Тетеринец // Наука и инновации. – 2019. – № 5(195). – С. 38–44.</w:t>
      </w:r>
    </w:p>
    <w:p w:rsidR="00211EEF" w:rsidRPr="001571A7" w:rsidRDefault="00211EEF" w:rsidP="001571A7">
      <w:pPr>
        <w:spacing w:after="0" w:line="240" w:lineRule="auto"/>
        <w:ind w:firstLine="709"/>
        <w:jc w:val="both"/>
        <w:rPr>
          <w:rFonts w:ascii="Times New Roman" w:hAnsi="Times New Roman" w:cs="Times New Roman"/>
          <w:sz w:val="24"/>
          <w:szCs w:val="24"/>
          <w:lang w:val="be-BY"/>
        </w:rPr>
      </w:pPr>
      <w:r w:rsidRPr="001571A7">
        <w:rPr>
          <w:rFonts w:ascii="Times New Roman" w:hAnsi="Times New Roman" w:cs="Times New Roman"/>
          <w:sz w:val="24"/>
          <w:szCs w:val="24"/>
          <w:lang w:val="be-BY"/>
        </w:rPr>
        <w:t>4. Самоховец, М. П. Современные условия формирования трудовых ресурсов в сельском хозяйстве Республики Беларусь / М. П. Самоховец // Наука – образованию, производству, экономике : материалы 74-й региональной научно-практической конференции преподавателей, научных сотрудников и аспирантов. – Витебск, 2022. – С. 390–392.</w:t>
      </w:r>
    </w:p>
    <w:p w:rsidR="00211EEF" w:rsidRPr="001571A7" w:rsidRDefault="00211EEF" w:rsidP="001571A7">
      <w:pPr>
        <w:spacing w:after="0" w:line="240" w:lineRule="auto"/>
        <w:ind w:firstLine="709"/>
        <w:jc w:val="both"/>
        <w:rPr>
          <w:rFonts w:ascii="Times New Roman" w:hAnsi="Times New Roman" w:cs="Times New Roman"/>
          <w:sz w:val="24"/>
          <w:szCs w:val="24"/>
          <w:lang w:val="be-BY"/>
        </w:rPr>
      </w:pPr>
      <w:r w:rsidRPr="001571A7">
        <w:rPr>
          <w:rFonts w:ascii="Times New Roman" w:hAnsi="Times New Roman" w:cs="Times New Roman"/>
          <w:sz w:val="24"/>
          <w:szCs w:val="24"/>
          <w:lang w:val="be-BY"/>
        </w:rPr>
        <w:t>5. Организация, нормирование и оплата труда в агропромышленном комплексе / М. К. Жудро, С. Б. Шапиро, В. И. Соусь [и др.] ; под общ. ред. М. К. Жудро, С. Б. Шапиро, В. И. Соуся. – Минск : Вышэйшая школа, 2012. – 467 с.</w:t>
      </w:r>
    </w:p>
    <w:p w:rsidR="00211EEF" w:rsidRPr="001571A7" w:rsidRDefault="00211EEF" w:rsidP="001571A7">
      <w:pPr>
        <w:spacing w:after="0" w:line="240" w:lineRule="auto"/>
        <w:ind w:firstLine="709"/>
        <w:jc w:val="both"/>
        <w:rPr>
          <w:rFonts w:ascii="Times New Roman" w:hAnsi="Times New Roman" w:cs="Times New Roman"/>
          <w:sz w:val="24"/>
          <w:szCs w:val="24"/>
          <w:lang w:val="be-BY"/>
        </w:rPr>
      </w:pPr>
      <w:r w:rsidRPr="001571A7">
        <w:rPr>
          <w:rFonts w:ascii="Times New Roman" w:hAnsi="Times New Roman" w:cs="Times New Roman"/>
          <w:sz w:val="24"/>
          <w:szCs w:val="24"/>
          <w:lang w:val="be-BY"/>
        </w:rPr>
        <w:t>6. Остапенко, Ю. М. Экономика труда / Ю. М. Остапенко. – Москва : ИНФРА-М, 2019. – 272 с.</w:t>
      </w:r>
    </w:p>
    <w:p w:rsidR="00211EEF" w:rsidRPr="001571A7" w:rsidRDefault="00211EEF" w:rsidP="001571A7">
      <w:pPr>
        <w:spacing w:after="0" w:line="240" w:lineRule="auto"/>
        <w:ind w:firstLine="709"/>
        <w:jc w:val="both"/>
        <w:rPr>
          <w:rFonts w:ascii="Times New Roman" w:hAnsi="Times New Roman" w:cs="Times New Roman"/>
          <w:sz w:val="24"/>
          <w:szCs w:val="24"/>
          <w:lang w:val="be-BY"/>
        </w:rPr>
      </w:pPr>
      <w:r w:rsidRPr="001571A7">
        <w:rPr>
          <w:rFonts w:ascii="Times New Roman" w:hAnsi="Times New Roman" w:cs="Times New Roman"/>
          <w:sz w:val="24"/>
          <w:szCs w:val="24"/>
          <w:lang w:val="be-BY"/>
        </w:rPr>
        <w:t>7. Сельское хозяйство Республики Беларусь : статистический буклет / под ред. И. В. Медведевой. – Минск : Национальный статистический комитет Республики Беларусь, 2025. – 36 с.</w:t>
      </w:r>
    </w:p>
    <w:p w:rsidR="004611AA" w:rsidRDefault="004611AA" w:rsidP="00507CF9">
      <w:pPr>
        <w:spacing w:after="0"/>
        <w:jc w:val="center"/>
        <w:rPr>
          <w:rFonts w:ascii="Times New Roman" w:hAnsi="Times New Roman" w:cs="Times New Roman"/>
          <w:b/>
          <w:bCs/>
          <w:sz w:val="28"/>
          <w:szCs w:val="28"/>
        </w:rPr>
      </w:pPr>
    </w:p>
    <w:p w:rsidR="00507CF9" w:rsidRPr="00B644BF" w:rsidRDefault="00507CF9" w:rsidP="004611AA">
      <w:pPr>
        <w:spacing w:after="0" w:line="240" w:lineRule="auto"/>
        <w:ind w:firstLine="709"/>
        <w:jc w:val="center"/>
        <w:rPr>
          <w:rFonts w:ascii="Times New Roman" w:hAnsi="Times New Roman" w:cs="Times New Roman"/>
          <w:b/>
          <w:bCs/>
          <w:sz w:val="28"/>
          <w:szCs w:val="28"/>
        </w:rPr>
      </w:pPr>
      <w:r w:rsidRPr="00B644BF">
        <w:rPr>
          <w:rFonts w:ascii="Times New Roman" w:hAnsi="Times New Roman" w:cs="Times New Roman"/>
          <w:b/>
          <w:bCs/>
          <w:sz w:val="28"/>
          <w:szCs w:val="28"/>
        </w:rPr>
        <w:t>ПРАВОВЫЕ АСПЕКТЫ РАЗВИТИЯ АРХЕОЛОГИЧЕСКОГО ТУРИЗМА В МОГИЛЕВСКОЙ ОБЛАСТИ</w:t>
      </w:r>
    </w:p>
    <w:p w:rsidR="00507CF9" w:rsidRPr="00B644BF" w:rsidRDefault="00507CF9" w:rsidP="004611AA">
      <w:pPr>
        <w:spacing w:after="0" w:line="240" w:lineRule="auto"/>
        <w:ind w:firstLine="709"/>
        <w:jc w:val="center"/>
        <w:rPr>
          <w:rFonts w:ascii="Times New Roman" w:hAnsi="Times New Roman" w:cs="Times New Roman"/>
          <w:sz w:val="28"/>
          <w:szCs w:val="28"/>
        </w:rPr>
      </w:pPr>
    </w:p>
    <w:p w:rsidR="00507CF9" w:rsidRPr="00B644BF" w:rsidRDefault="00507CF9" w:rsidP="004611AA">
      <w:pPr>
        <w:spacing w:after="0" w:line="240" w:lineRule="auto"/>
        <w:ind w:firstLine="709"/>
        <w:jc w:val="center"/>
        <w:rPr>
          <w:rFonts w:ascii="Times New Roman" w:hAnsi="Times New Roman" w:cs="Times New Roman"/>
          <w:b/>
          <w:bCs/>
          <w:sz w:val="28"/>
          <w:szCs w:val="28"/>
        </w:rPr>
      </w:pPr>
      <w:r w:rsidRPr="00B644BF">
        <w:rPr>
          <w:rFonts w:ascii="Times New Roman" w:hAnsi="Times New Roman" w:cs="Times New Roman"/>
          <w:b/>
          <w:bCs/>
          <w:sz w:val="28"/>
          <w:szCs w:val="28"/>
        </w:rPr>
        <w:t>Ткачёва Марина Валентиновна</w:t>
      </w:r>
    </w:p>
    <w:p w:rsidR="00507CF9" w:rsidRPr="00B644BF" w:rsidRDefault="00507CF9" w:rsidP="004611AA">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старший преподаватель кафедры теории права и социально-политических дисциплин</w:t>
      </w:r>
    </w:p>
    <w:p w:rsidR="00507CF9" w:rsidRPr="00B644BF" w:rsidRDefault="00507CF9" w:rsidP="004611AA">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учреждения образования «Могилевский государственный университет</w:t>
      </w:r>
    </w:p>
    <w:p w:rsidR="00507CF9" w:rsidRPr="00B644BF" w:rsidRDefault="00507CF9" w:rsidP="004611AA">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 xml:space="preserve">имени А.А. Кулешова»; </w:t>
      </w:r>
    </w:p>
    <w:p w:rsidR="00507CF9" w:rsidRPr="00B644BF" w:rsidRDefault="00507CF9" w:rsidP="004611AA">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(г. Могилев, Беларусь)</w:t>
      </w:r>
    </w:p>
    <w:p w:rsidR="00507CF9" w:rsidRPr="004611AA" w:rsidRDefault="00F975FD" w:rsidP="004611AA">
      <w:pPr>
        <w:spacing w:after="0" w:line="240" w:lineRule="auto"/>
        <w:ind w:firstLine="709"/>
        <w:jc w:val="center"/>
        <w:rPr>
          <w:rFonts w:ascii="Times New Roman" w:hAnsi="Times New Roman" w:cs="Times New Roman"/>
          <w:sz w:val="28"/>
          <w:szCs w:val="28"/>
        </w:rPr>
      </w:pPr>
      <w:hyperlink r:id="rId25" w:history="1">
        <w:r w:rsidR="00507CF9" w:rsidRPr="004611AA">
          <w:rPr>
            <w:rStyle w:val="a5"/>
            <w:rFonts w:ascii="Times New Roman" w:hAnsi="Times New Roman" w:cs="Times New Roman"/>
            <w:color w:val="auto"/>
            <w:sz w:val="28"/>
            <w:szCs w:val="28"/>
            <w:u w:val="none"/>
          </w:rPr>
          <w:t>tkachyova_mv@m.msu.by</w:t>
        </w:r>
      </w:hyperlink>
      <w:r w:rsidR="00507CF9" w:rsidRPr="004611AA">
        <w:rPr>
          <w:rFonts w:ascii="Times New Roman" w:hAnsi="Times New Roman" w:cs="Times New Roman"/>
          <w:sz w:val="28"/>
          <w:szCs w:val="28"/>
        </w:rPr>
        <w:t xml:space="preserve"> </w:t>
      </w:r>
    </w:p>
    <w:p w:rsidR="00507CF9" w:rsidRPr="00B644BF" w:rsidRDefault="00507CF9" w:rsidP="004611AA">
      <w:pPr>
        <w:spacing w:after="0" w:line="240" w:lineRule="auto"/>
        <w:ind w:firstLine="709"/>
        <w:jc w:val="both"/>
        <w:rPr>
          <w:rFonts w:ascii="Times New Roman" w:hAnsi="Times New Roman" w:cs="Times New Roman"/>
          <w:b/>
          <w:bCs/>
          <w:sz w:val="24"/>
          <w:szCs w:val="24"/>
        </w:rPr>
      </w:pPr>
    </w:p>
    <w:p w:rsidR="00507CF9" w:rsidRPr="00B644BF" w:rsidRDefault="00507CF9" w:rsidP="004611AA">
      <w:pPr>
        <w:spacing w:after="0" w:line="240" w:lineRule="auto"/>
        <w:ind w:firstLine="709"/>
        <w:jc w:val="both"/>
        <w:rPr>
          <w:rFonts w:ascii="Times New Roman" w:hAnsi="Times New Roman" w:cs="Times New Roman"/>
          <w:sz w:val="24"/>
          <w:szCs w:val="24"/>
        </w:rPr>
      </w:pPr>
      <w:r w:rsidRPr="00B644BF">
        <w:rPr>
          <w:rFonts w:ascii="Times New Roman" w:hAnsi="Times New Roman" w:cs="Times New Roman"/>
          <w:b/>
          <w:bCs/>
          <w:sz w:val="24"/>
          <w:szCs w:val="24"/>
        </w:rPr>
        <w:t>Аннотация.</w:t>
      </w:r>
      <w:r w:rsidRPr="00B644BF">
        <w:rPr>
          <w:rFonts w:ascii="Times New Roman" w:hAnsi="Times New Roman" w:cs="Times New Roman"/>
          <w:sz w:val="24"/>
          <w:szCs w:val="24"/>
        </w:rPr>
        <w:t xml:space="preserve"> Статья посвящена анализу ресурсов Могилевской области для развития археологического туризма с точки зрения права. Рассматривается правовая возможность использования памятников археологии, включенных в Государственный список историко-культурных ценностей, и их потенциал для создания туристических объектов. Предлагается введение законодательной конструкции договора о государственно-частном партнерстве в сфере туризма для привлечения инвестиций в сохранение и популяризацию археологического наследия.</w:t>
      </w:r>
    </w:p>
    <w:p w:rsidR="00507CF9" w:rsidRPr="00B644BF" w:rsidRDefault="00507CF9" w:rsidP="004611AA">
      <w:pPr>
        <w:spacing w:after="0" w:line="240" w:lineRule="auto"/>
        <w:ind w:firstLine="709"/>
        <w:jc w:val="both"/>
        <w:rPr>
          <w:rFonts w:ascii="Times New Roman" w:hAnsi="Times New Roman" w:cs="Times New Roman"/>
          <w:sz w:val="24"/>
          <w:szCs w:val="24"/>
        </w:rPr>
      </w:pPr>
      <w:r w:rsidRPr="00B644BF">
        <w:rPr>
          <w:rFonts w:ascii="Times New Roman" w:hAnsi="Times New Roman" w:cs="Times New Roman"/>
          <w:b/>
          <w:bCs/>
          <w:sz w:val="24"/>
          <w:szCs w:val="24"/>
        </w:rPr>
        <w:t>Ключевые слова.</w:t>
      </w:r>
      <w:r w:rsidRPr="00B644BF">
        <w:rPr>
          <w:rFonts w:ascii="Times New Roman" w:hAnsi="Times New Roman" w:cs="Times New Roman"/>
          <w:sz w:val="24"/>
          <w:szCs w:val="24"/>
        </w:rPr>
        <w:t xml:space="preserve"> Археологический туризм, историко-культурные ценности, государственный список, археологические памятники, государственно-частное партнерство, сохранение наследия, археологические объекты.</w:t>
      </w:r>
    </w:p>
    <w:p w:rsidR="00507CF9" w:rsidRPr="00B644BF" w:rsidRDefault="00507CF9" w:rsidP="004611AA">
      <w:pPr>
        <w:spacing w:after="0" w:line="240" w:lineRule="auto"/>
        <w:ind w:firstLine="709"/>
        <w:jc w:val="both"/>
        <w:rPr>
          <w:rFonts w:ascii="Times New Roman" w:hAnsi="Times New Roman" w:cs="Times New Roman"/>
          <w:sz w:val="24"/>
          <w:szCs w:val="24"/>
        </w:rPr>
      </w:pPr>
    </w:p>
    <w:p w:rsidR="00507CF9" w:rsidRPr="00B644BF" w:rsidRDefault="00507CF9" w:rsidP="004611AA">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lastRenderedPageBreak/>
        <w:t>Сохранение историко-культурного наследия является приоритетным направлением государственной политики Республики Беларусь.</w:t>
      </w:r>
    </w:p>
    <w:p w:rsidR="00507CF9" w:rsidRPr="00B644BF" w:rsidRDefault="00507CF9" w:rsidP="004611AA">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Могилевская область обладает культурным и археологическим наследием и значительными ресурсами для развития туристического потенциала. </w:t>
      </w:r>
    </w:p>
    <w:p w:rsidR="00507CF9" w:rsidRPr="00B644BF" w:rsidRDefault="00507CF9" w:rsidP="004611AA">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Памятники, относящиеся к историко-культурным ценностям включены в Государственный список историко-культурных ценностей Республики Беларусь. В данный список каждый год включаются наиболее значимые объекты наследия, архитектуры и градостроительства, истории, искусства, нематериальные проявления творчества человека (обычаи, традиции, обряды), в том числе памятники археологии. Государственный список историко-культурных ценностей Республики Беларусь по Могилевской области включает 1077 историко-культурных ценностей, из которых памятники археологии составляют 783 объекта [4]. </w:t>
      </w:r>
    </w:p>
    <w:p w:rsidR="00507CF9" w:rsidRPr="00B644BF" w:rsidRDefault="00507CF9" w:rsidP="004611AA">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В Республике Беларусь на современном этапе охрана археологических памятников и культурного наследия регулируется Кодексом Республики Беларусь о культуре [7]. В нем содержатся основные направления государственной политики в сфере культуры.</w:t>
      </w:r>
    </w:p>
    <w:p w:rsidR="00507CF9" w:rsidRPr="00B644BF" w:rsidRDefault="00507CF9" w:rsidP="004611AA">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В соответствии со ст. 83 Кодекса Республики Беларусь о культуре археологические памятники относятся к материальным историко-культурным ценностям. К археологическим памятникам относятся местонахождения, которые связаны с жизнедеятельностью и культурой древнего человека и являются объектом археологического исследования. Археологическими памятниками являются: поселения (стоянки, селища, городища), погребения (грунтовые) и курганные могильники, места древних производств и др. [8, с. 47].</w:t>
      </w:r>
    </w:p>
    <w:p w:rsidR="00507CF9" w:rsidRPr="00B644BF" w:rsidRDefault="00507CF9" w:rsidP="004611AA">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На 2026-2030 годы в Республике Беларусь принята Государственная программа «Культурное пространство» на 2026-2030 годы [9]. </w:t>
      </w:r>
    </w:p>
    <w:p w:rsidR="00507CF9" w:rsidRPr="00B644BF" w:rsidRDefault="00507CF9" w:rsidP="004611AA">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В программе говорится о недостаточности принимаемых мер по обеспечению сохранности и популяризации историко-культурных, которая обусловлена ограниченными объемами финансирования работ по охране и реставрации объектов историко-культурного наследия из средств местных бюджетов;</w:t>
      </w:r>
    </w:p>
    <w:p w:rsidR="00507CF9" w:rsidRPr="00B644BF" w:rsidRDefault="00507CF9" w:rsidP="004611AA">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Данной программой планируется обеспечить повышение эффективности использования объектов историко-культурного наследия посредством их активного вовлечения в сферу туризма;</w:t>
      </w:r>
    </w:p>
    <w:p w:rsidR="00507CF9" w:rsidRPr="00B644BF" w:rsidRDefault="00507CF9" w:rsidP="004611AA">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Для популяризации посещения памятников археологии следует развивать такое направление как археологический туризм (археотуризм). Археологический туризм является направлением туризма, целью которого является посещение туристами археологических памятников для популяризации в обществе интереса к археологии, сохранение археологического наследия, историческое просвещение молодежи [2, с. 3]. </w:t>
      </w:r>
    </w:p>
    <w:p w:rsidR="00507CF9" w:rsidRPr="00B644BF" w:rsidRDefault="00507CF9" w:rsidP="004611AA">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lastRenderedPageBreak/>
        <w:t>На территории Беларуси, в частности Могилевской области, археологический туризм слабо развит, но в области имеются уникальные и интересные памятники. Примером археологических памятников с целью их использования в археологическом туризме являются законсервированный археологический комплекс «Замковая гора» в г. Мстиславле, реконструкция деревни «радимичей» в д. Радомля Чаусского района [1, с. 102; 245]. Значимыми туристическими объектами является городище в г. Шклов, Быховский замок, Глусский замок [5; 3, с. 209; 6, с. 479] В г. Могилеве объектом археологического туризма может стать законсервированный фундамент Троицкой церкви XVIII в., найденный во время реконструкции моста через р. Днепр [2, с. 6].</w:t>
      </w:r>
    </w:p>
    <w:p w:rsidR="00507CF9" w:rsidRPr="00B644BF" w:rsidRDefault="00507CF9" w:rsidP="004611AA">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Для осуществления археологического туризма в регионе есть возможность привлечения инвестиций для развития туристической инфраструктуры (гостиницы, кафе, сувенирные магазины).</w:t>
      </w:r>
    </w:p>
    <w:p w:rsidR="00507CF9" w:rsidRPr="00B644BF" w:rsidRDefault="00507CF9" w:rsidP="004611AA">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Но для потенциальных инвесторов существуют трудности в правовом регулировании возможности финансирования. </w:t>
      </w:r>
    </w:p>
    <w:p w:rsidR="00507CF9" w:rsidRPr="00B644BF" w:rsidRDefault="00507CF9" w:rsidP="004611AA">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В Республике Беларусь действует Закон Республики Беларусь «О государственно-частном партнерстве» [10].</w:t>
      </w:r>
    </w:p>
    <w:p w:rsidR="00507CF9" w:rsidRPr="00B644BF" w:rsidRDefault="00507CF9" w:rsidP="004611AA">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В данный Закон предлагается ввести новую конструкцию как «Договор о государственно-частном партнерстве в сфере туризма». Данная конструкция даст возможность заключения договора о государственно-частном партнерстве для сохранения археологических памятников, их популяризации и для создания туристических маршрутов. </w:t>
      </w:r>
    </w:p>
    <w:p w:rsidR="00507CF9" w:rsidRPr="00B644BF" w:rsidRDefault="00507CF9" w:rsidP="004611AA">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В таком договоре существенными условиями могут быть: обязательства инвестора для финансирования содержания археологических памятников, по их консервации и благоустройства прилегающей территории. Инвесторы, в свою очередь, могут иметь возможность развивать инфраструктуру, осуществлять экскурсионную деятельность, осуществлять продажу сувенирной продукции и осуществлять туристическую деятельность на территории, прилегающей к археологическим памятникам. Для минимизации риска повреждения памятника, нарушения культурного слоя необходимо проведение обязательного и постоянного археологического надзора за счет инвестора.</w:t>
      </w:r>
    </w:p>
    <w:p w:rsidR="00507CF9" w:rsidRPr="00B644BF" w:rsidRDefault="00507CF9" w:rsidP="004611AA">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Развитие археологического туризма в Могилевской области позволит увеличить поток туристов в регион и даст возможность увеличить количество рабочих мест.   </w:t>
      </w:r>
    </w:p>
    <w:p w:rsidR="00507CF9" w:rsidRPr="00B644BF" w:rsidRDefault="00507CF9" w:rsidP="004611AA">
      <w:pPr>
        <w:spacing w:after="0" w:line="240" w:lineRule="auto"/>
        <w:ind w:firstLine="709"/>
        <w:jc w:val="both"/>
        <w:rPr>
          <w:rFonts w:ascii="Times New Roman" w:hAnsi="Times New Roman" w:cs="Times New Roman"/>
          <w:sz w:val="28"/>
          <w:szCs w:val="28"/>
        </w:rPr>
      </w:pPr>
    </w:p>
    <w:p w:rsidR="00507CF9" w:rsidRPr="004611AA" w:rsidRDefault="00507CF9" w:rsidP="004611AA">
      <w:pPr>
        <w:widowControl w:val="0"/>
        <w:tabs>
          <w:tab w:val="left" w:pos="7200"/>
        </w:tabs>
        <w:spacing w:after="0" w:line="240" w:lineRule="auto"/>
        <w:ind w:firstLine="709"/>
        <w:jc w:val="center"/>
        <w:rPr>
          <w:rFonts w:ascii="Times New Roman" w:hAnsi="Times New Roman" w:cs="Times New Roman"/>
          <w:b/>
          <w:sz w:val="28"/>
          <w:szCs w:val="28"/>
          <w:lang w:val="be-BY"/>
        </w:rPr>
      </w:pPr>
      <w:r w:rsidRPr="004611AA">
        <w:rPr>
          <w:rFonts w:ascii="Times New Roman" w:hAnsi="Times New Roman" w:cs="Times New Roman"/>
          <w:b/>
          <w:sz w:val="28"/>
          <w:szCs w:val="28"/>
        </w:rPr>
        <w:t>Список литературы</w:t>
      </w:r>
    </w:p>
    <w:p w:rsidR="00507CF9" w:rsidRPr="00B644BF" w:rsidRDefault="00507CF9" w:rsidP="004611AA">
      <w:pPr>
        <w:pStyle w:val="a7"/>
        <w:numPr>
          <w:ilvl w:val="0"/>
          <w:numId w:val="19"/>
        </w:numPr>
        <w:spacing w:after="0" w:line="240" w:lineRule="auto"/>
        <w:ind w:left="0" w:firstLine="709"/>
        <w:jc w:val="both"/>
        <w:rPr>
          <w:rFonts w:ascii="Times New Roman" w:hAnsi="Times New Roman" w:cs="Times New Roman"/>
          <w:sz w:val="24"/>
          <w:szCs w:val="24"/>
        </w:rPr>
      </w:pPr>
      <w:r w:rsidRPr="00B644BF">
        <w:rPr>
          <w:rFonts w:ascii="Times New Roman" w:hAnsi="Times New Roman" w:cs="Times New Roman"/>
          <w:sz w:val="24"/>
          <w:szCs w:val="24"/>
        </w:rPr>
        <w:t xml:space="preserve">Археалогія Беларусі : энцыклапедыя у двух тамах / [рэдкал.: Т. У Бялова (гал. рэд.) [і інш.] ; склад.: Ю. У Каласоўскі]. - Мінск : Беларуская Энцыклапедыя імя Петруся Броўкі, 2009 - Т. 2. – 2009. – 464 с. </w:t>
      </w:r>
    </w:p>
    <w:p w:rsidR="00507CF9" w:rsidRPr="00B644BF" w:rsidRDefault="00507CF9" w:rsidP="004611AA">
      <w:pPr>
        <w:pStyle w:val="a7"/>
        <w:numPr>
          <w:ilvl w:val="0"/>
          <w:numId w:val="19"/>
        </w:numPr>
        <w:spacing w:after="0" w:line="240" w:lineRule="auto"/>
        <w:ind w:left="0" w:firstLine="709"/>
        <w:jc w:val="both"/>
        <w:rPr>
          <w:rFonts w:ascii="Times New Roman" w:hAnsi="Times New Roman" w:cs="Times New Roman"/>
          <w:sz w:val="24"/>
          <w:szCs w:val="24"/>
        </w:rPr>
      </w:pPr>
      <w:r w:rsidRPr="00B644BF">
        <w:rPr>
          <w:rFonts w:ascii="Times New Roman" w:hAnsi="Times New Roman" w:cs="Times New Roman"/>
          <w:sz w:val="24"/>
          <w:szCs w:val="24"/>
        </w:rPr>
        <w:t xml:space="preserve">Галиновский, И.В. Археологический туризм как компонент устойчивого развития Могилевской области / И.В. Галиновский, М.В. Ткачёва // Проблемы устойчивого развития регионов Республики Беларусь и сопредельных стран : сб. статей </w:t>
      </w:r>
      <w:r w:rsidRPr="00B644BF">
        <w:rPr>
          <w:rFonts w:ascii="Times New Roman" w:hAnsi="Times New Roman" w:cs="Times New Roman"/>
          <w:sz w:val="24"/>
          <w:szCs w:val="24"/>
        </w:rPr>
        <w:lastRenderedPageBreak/>
        <w:t>ХII Междунар. науч.-практ. конф., 26 мая 2023 г., г. Могилев / под ред. н. в. Маковской. – Могилев : МГУ имени А. А. Кулешова, 2024 – С. 3-6.</w:t>
      </w:r>
    </w:p>
    <w:p w:rsidR="00507CF9" w:rsidRPr="00B644BF" w:rsidRDefault="00507CF9" w:rsidP="004611AA">
      <w:pPr>
        <w:pStyle w:val="a7"/>
        <w:numPr>
          <w:ilvl w:val="0"/>
          <w:numId w:val="19"/>
        </w:numPr>
        <w:spacing w:after="0" w:line="240" w:lineRule="auto"/>
        <w:ind w:left="0" w:firstLine="709"/>
        <w:jc w:val="both"/>
        <w:rPr>
          <w:rFonts w:ascii="Times New Roman" w:hAnsi="Times New Roman" w:cs="Times New Roman"/>
          <w:sz w:val="24"/>
          <w:szCs w:val="24"/>
        </w:rPr>
      </w:pPr>
      <w:r w:rsidRPr="00B644BF">
        <w:rPr>
          <w:rFonts w:ascii="Times New Roman" w:hAnsi="Times New Roman" w:cs="Times New Roman"/>
          <w:sz w:val="24"/>
          <w:szCs w:val="24"/>
        </w:rPr>
        <w:t xml:space="preserve">Ганецкая, I. У. Глуская фартэцыя / I. У Ганецкая, М. А. Волкаў // Археалагічныя даследванні на Беларусі ў 2008 г. </w:t>
      </w:r>
      <w:r w:rsidRPr="00B644BF">
        <w:rPr>
          <w:rFonts w:ascii="Times New Roman" w:hAnsi="Times New Roman" w:cs="Times New Roman"/>
          <w:sz w:val="28"/>
          <w:szCs w:val="28"/>
        </w:rPr>
        <w:t>–</w:t>
      </w:r>
      <w:r w:rsidRPr="00B644BF">
        <w:rPr>
          <w:rFonts w:ascii="Times New Roman" w:hAnsi="Times New Roman" w:cs="Times New Roman"/>
          <w:sz w:val="24"/>
          <w:szCs w:val="24"/>
        </w:rPr>
        <w:t xml:space="preserve"> 2011. </w:t>
      </w:r>
      <w:r w:rsidRPr="00B644BF">
        <w:rPr>
          <w:rFonts w:ascii="Times New Roman" w:hAnsi="Times New Roman" w:cs="Times New Roman"/>
          <w:sz w:val="28"/>
          <w:szCs w:val="28"/>
        </w:rPr>
        <w:t>–</w:t>
      </w:r>
      <w:r w:rsidRPr="00B644BF">
        <w:rPr>
          <w:rFonts w:ascii="Times New Roman" w:hAnsi="Times New Roman" w:cs="Times New Roman"/>
          <w:sz w:val="24"/>
          <w:szCs w:val="24"/>
        </w:rPr>
        <w:t xml:space="preserve"> № 20. </w:t>
      </w:r>
      <w:r w:rsidRPr="00B644BF">
        <w:rPr>
          <w:rFonts w:ascii="Times New Roman" w:hAnsi="Times New Roman" w:cs="Times New Roman"/>
          <w:sz w:val="28"/>
          <w:szCs w:val="28"/>
        </w:rPr>
        <w:t>–</w:t>
      </w:r>
      <w:r w:rsidRPr="00B644BF">
        <w:rPr>
          <w:rFonts w:ascii="Times New Roman" w:hAnsi="Times New Roman" w:cs="Times New Roman"/>
          <w:sz w:val="24"/>
          <w:szCs w:val="24"/>
        </w:rPr>
        <w:t xml:space="preserve"> С. 209-226.</w:t>
      </w:r>
    </w:p>
    <w:p w:rsidR="00507CF9" w:rsidRPr="00B644BF" w:rsidRDefault="00507CF9" w:rsidP="004611AA">
      <w:pPr>
        <w:pStyle w:val="a7"/>
        <w:numPr>
          <w:ilvl w:val="0"/>
          <w:numId w:val="19"/>
        </w:numPr>
        <w:spacing w:after="0" w:line="240" w:lineRule="auto"/>
        <w:ind w:left="0" w:firstLine="709"/>
        <w:jc w:val="both"/>
        <w:rPr>
          <w:rFonts w:ascii="Times New Roman" w:hAnsi="Times New Roman" w:cs="Times New Roman"/>
          <w:sz w:val="24"/>
          <w:szCs w:val="24"/>
        </w:rPr>
      </w:pPr>
      <w:r w:rsidRPr="00B644BF">
        <w:rPr>
          <w:rFonts w:ascii="Times New Roman" w:hAnsi="Times New Roman" w:cs="Times New Roman"/>
          <w:sz w:val="24"/>
          <w:szCs w:val="24"/>
        </w:rPr>
        <w:t xml:space="preserve">Дзяржаўны спiс гiсторыка-культурных каштоўнасцей Рэспублiкi Беларусь // Дзяржаўны спіс гісторыка-культурных каштоўнасцей Рэспублікі Беларусь.– URL  </w:t>
      </w:r>
      <w:hyperlink r:id="rId26" w:history="1">
        <w:r w:rsidRPr="00B644BF">
          <w:rPr>
            <w:rStyle w:val="a5"/>
            <w:rFonts w:ascii="Times New Roman" w:hAnsi="Times New Roman" w:cs="Times New Roman"/>
            <w:color w:val="auto"/>
            <w:sz w:val="24"/>
            <w:szCs w:val="24"/>
          </w:rPr>
          <w:t>http://gosspisok.gov.by/(X(1)S(sym4siqkg5kvsfxgdrt0dhbi))/Home/Index?AspxAutoDetectCookieSupport=1</w:t>
        </w:r>
      </w:hyperlink>
      <w:r w:rsidRPr="00B644BF">
        <w:rPr>
          <w:rFonts w:ascii="Times New Roman" w:hAnsi="Times New Roman" w:cs="Times New Roman"/>
          <w:sz w:val="24"/>
          <w:szCs w:val="24"/>
        </w:rPr>
        <w:t xml:space="preserve">  (дата звароту: 05.05.2026). </w:t>
      </w:r>
    </w:p>
    <w:p w:rsidR="00507CF9" w:rsidRPr="00B644BF" w:rsidRDefault="00507CF9" w:rsidP="004611AA">
      <w:pPr>
        <w:pStyle w:val="a7"/>
        <w:numPr>
          <w:ilvl w:val="0"/>
          <w:numId w:val="19"/>
        </w:numPr>
        <w:spacing w:after="0" w:line="240" w:lineRule="auto"/>
        <w:ind w:left="0" w:firstLine="709"/>
        <w:jc w:val="both"/>
        <w:rPr>
          <w:rFonts w:ascii="Times New Roman" w:hAnsi="Times New Roman" w:cs="Times New Roman"/>
          <w:sz w:val="24"/>
          <w:szCs w:val="24"/>
        </w:rPr>
      </w:pPr>
      <w:r w:rsidRPr="00B644BF">
        <w:rPr>
          <w:rFonts w:ascii="Times New Roman" w:hAnsi="Times New Roman" w:cs="Times New Roman"/>
          <w:sz w:val="24"/>
          <w:szCs w:val="24"/>
        </w:rPr>
        <w:t>Казюкин, Е. Сказ о том, как исчезли Шклов с замком. И как ученые искали их / Е. Казюкин // SB.BY СБ. Беларусь сегодня.– 2010. .–</w:t>
      </w:r>
      <w:r w:rsidRPr="00B644BF">
        <w:rPr>
          <w:rFonts w:ascii="Times New Roman" w:hAnsi="Times New Roman" w:cs="Times New Roman"/>
          <w:sz w:val="24"/>
          <w:szCs w:val="24"/>
          <w:lang w:val="en-US"/>
        </w:rPr>
        <w:t> URL </w:t>
      </w:r>
      <w:r w:rsidRPr="00B644BF">
        <w:rPr>
          <w:rFonts w:ascii="Times New Roman" w:hAnsi="Times New Roman" w:cs="Times New Roman"/>
          <w:sz w:val="24"/>
          <w:szCs w:val="24"/>
        </w:rPr>
        <w:t xml:space="preserve"> </w:t>
      </w:r>
      <w:hyperlink r:id="rId27" w:history="1">
        <w:r w:rsidRPr="00B644BF">
          <w:rPr>
            <w:rStyle w:val="a5"/>
            <w:rFonts w:ascii="Times New Roman" w:hAnsi="Times New Roman" w:cs="Times New Roman"/>
            <w:color w:val="auto"/>
            <w:sz w:val="24"/>
            <w:szCs w:val="24"/>
            <w:lang w:val="en-US"/>
          </w:rPr>
          <w:t>https</w:t>
        </w:r>
        <w:r w:rsidRPr="00B644BF">
          <w:rPr>
            <w:rStyle w:val="a5"/>
            <w:rFonts w:ascii="Times New Roman" w:hAnsi="Times New Roman" w:cs="Times New Roman"/>
            <w:color w:val="auto"/>
            <w:sz w:val="24"/>
            <w:szCs w:val="24"/>
          </w:rPr>
          <w:t>://</w:t>
        </w:r>
        <w:r w:rsidRPr="00B644BF">
          <w:rPr>
            <w:rStyle w:val="a5"/>
            <w:rFonts w:ascii="Times New Roman" w:hAnsi="Times New Roman" w:cs="Times New Roman"/>
            <w:color w:val="auto"/>
            <w:sz w:val="24"/>
            <w:szCs w:val="24"/>
            <w:lang w:val="en-US"/>
          </w:rPr>
          <w:t>www</w:t>
        </w:r>
        <w:r w:rsidRPr="00B644BF">
          <w:rPr>
            <w:rStyle w:val="a5"/>
            <w:rFonts w:ascii="Times New Roman" w:hAnsi="Times New Roman" w:cs="Times New Roman"/>
            <w:color w:val="auto"/>
            <w:sz w:val="24"/>
            <w:szCs w:val="24"/>
          </w:rPr>
          <w:t>.</w:t>
        </w:r>
        <w:r w:rsidRPr="00B644BF">
          <w:rPr>
            <w:rStyle w:val="a5"/>
            <w:rFonts w:ascii="Times New Roman" w:hAnsi="Times New Roman" w:cs="Times New Roman"/>
            <w:color w:val="auto"/>
            <w:sz w:val="24"/>
            <w:szCs w:val="24"/>
            <w:lang w:val="en-US"/>
          </w:rPr>
          <w:t>sb</w:t>
        </w:r>
        <w:r w:rsidRPr="00B644BF">
          <w:rPr>
            <w:rStyle w:val="a5"/>
            <w:rFonts w:ascii="Times New Roman" w:hAnsi="Times New Roman" w:cs="Times New Roman"/>
            <w:color w:val="auto"/>
            <w:sz w:val="24"/>
            <w:szCs w:val="24"/>
          </w:rPr>
          <w:t>.</w:t>
        </w:r>
        <w:r w:rsidRPr="00B644BF">
          <w:rPr>
            <w:rStyle w:val="a5"/>
            <w:rFonts w:ascii="Times New Roman" w:hAnsi="Times New Roman" w:cs="Times New Roman"/>
            <w:color w:val="auto"/>
            <w:sz w:val="24"/>
            <w:szCs w:val="24"/>
            <w:lang w:val="en-US"/>
          </w:rPr>
          <w:t>by</w:t>
        </w:r>
        <w:r w:rsidRPr="00B644BF">
          <w:rPr>
            <w:rStyle w:val="a5"/>
            <w:rFonts w:ascii="Times New Roman" w:hAnsi="Times New Roman" w:cs="Times New Roman"/>
            <w:color w:val="auto"/>
            <w:sz w:val="24"/>
            <w:szCs w:val="24"/>
          </w:rPr>
          <w:t>/</w:t>
        </w:r>
        <w:r w:rsidRPr="00B644BF">
          <w:rPr>
            <w:rStyle w:val="a5"/>
            <w:rFonts w:ascii="Times New Roman" w:hAnsi="Times New Roman" w:cs="Times New Roman"/>
            <w:color w:val="auto"/>
            <w:sz w:val="24"/>
            <w:szCs w:val="24"/>
            <w:lang w:val="en-US"/>
          </w:rPr>
          <w:t>articles</w:t>
        </w:r>
        <w:r w:rsidRPr="00B644BF">
          <w:rPr>
            <w:rStyle w:val="a5"/>
            <w:rFonts w:ascii="Times New Roman" w:hAnsi="Times New Roman" w:cs="Times New Roman"/>
            <w:color w:val="auto"/>
            <w:sz w:val="24"/>
            <w:szCs w:val="24"/>
          </w:rPr>
          <w:t>/</w:t>
        </w:r>
        <w:r w:rsidRPr="00B644BF">
          <w:rPr>
            <w:rStyle w:val="a5"/>
            <w:rFonts w:ascii="Times New Roman" w:hAnsi="Times New Roman" w:cs="Times New Roman"/>
            <w:color w:val="auto"/>
            <w:sz w:val="24"/>
            <w:szCs w:val="24"/>
            <w:lang w:val="en-US"/>
          </w:rPr>
          <w:t>skaz</w:t>
        </w:r>
        <w:r w:rsidRPr="00B644BF">
          <w:rPr>
            <w:rStyle w:val="a5"/>
            <w:rFonts w:ascii="Times New Roman" w:hAnsi="Times New Roman" w:cs="Times New Roman"/>
            <w:color w:val="auto"/>
            <w:sz w:val="24"/>
            <w:szCs w:val="24"/>
          </w:rPr>
          <w:t>-</w:t>
        </w:r>
        <w:r w:rsidRPr="00B644BF">
          <w:rPr>
            <w:rStyle w:val="a5"/>
            <w:rFonts w:ascii="Times New Roman" w:hAnsi="Times New Roman" w:cs="Times New Roman"/>
            <w:color w:val="auto"/>
            <w:sz w:val="24"/>
            <w:szCs w:val="24"/>
            <w:lang w:val="en-US"/>
          </w:rPr>
          <w:t>o</w:t>
        </w:r>
        <w:r w:rsidRPr="00B644BF">
          <w:rPr>
            <w:rStyle w:val="a5"/>
            <w:rFonts w:ascii="Times New Roman" w:hAnsi="Times New Roman" w:cs="Times New Roman"/>
            <w:color w:val="auto"/>
            <w:sz w:val="24"/>
            <w:szCs w:val="24"/>
          </w:rPr>
          <w:t>-</w:t>
        </w:r>
        <w:r w:rsidRPr="00B644BF">
          <w:rPr>
            <w:rStyle w:val="a5"/>
            <w:rFonts w:ascii="Times New Roman" w:hAnsi="Times New Roman" w:cs="Times New Roman"/>
            <w:color w:val="auto"/>
            <w:sz w:val="24"/>
            <w:szCs w:val="24"/>
            <w:lang w:val="en-US"/>
          </w:rPr>
          <w:t>tom</w:t>
        </w:r>
        <w:r w:rsidRPr="00B644BF">
          <w:rPr>
            <w:rStyle w:val="a5"/>
            <w:rFonts w:ascii="Times New Roman" w:hAnsi="Times New Roman" w:cs="Times New Roman"/>
            <w:color w:val="auto"/>
            <w:sz w:val="24"/>
            <w:szCs w:val="24"/>
          </w:rPr>
          <w:t>-</w:t>
        </w:r>
        <w:r w:rsidRPr="00B644BF">
          <w:rPr>
            <w:rStyle w:val="a5"/>
            <w:rFonts w:ascii="Times New Roman" w:hAnsi="Times New Roman" w:cs="Times New Roman"/>
            <w:color w:val="auto"/>
            <w:sz w:val="24"/>
            <w:szCs w:val="24"/>
            <w:lang w:val="en-US"/>
          </w:rPr>
          <w:t>kak</w:t>
        </w:r>
        <w:r w:rsidRPr="00B644BF">
          <w:rPr>
            <w:rStyle w:val="a5"/>
            <w:rFonts w:ascii="Times New Roman" w:hAnsi="Times New Roman" w:cs="Times New Roman"/>
            <w:color w:val="auto"/>
            <w:sz w:val="24"/>
            <w:szCs w:val="24"/>
          </w:rPr>
          <w:t>-</w:t>
        </w:r>
        <w:r w:rsidRPr="00B644BF">
          <w:rPr>
            <w:rStyle w:val="a5"/>
            <w:rFonts w:ascii="Times New Roman" w:hAnsi="Times New Roman" w:cs="Times New Roman"/>
            <w:color w:val="auto"/>
            <w:sz w:val="24"/>
            <w:szCs w:val="24"/>
            <w:lang w:val="en-US"/>
          </w:rPr>
          <w:t>ischezli</w:t>
        </w:r>
        <w:r w:rsidRPr="00B644BF">
          <w:rPr>
            <w:rStyle w:val="a5"/>
            <w:rFonts w:ascii="Times New Roman" w:hAnsi="Times New Roman" w:cs="Times New Roman"/>
            <w:color w:val="auto"/>
            <w:sz w:val="24"/>
            <w:szCs w:val="24"/>
          </w:rPr>
          <w:t>-</w:t>
        </w:r>
        <w:r w:rsidRPr="00B644BF">
          <w:rPr>
            <w:rStyle w:val="a5"/>
            <w:rFonts w:ascii="Times New Roman" w:hAnsi="Times New Roman" w:cs="Times New Roman"/>
            <w:color w:val="auto"/>
            <w:sz w:val="24"/>
            <w:szCs w:val="24"/>
            <w:lang w:val="en-US"/>
          </w:rPr>
          <w:t>shklov</w:t>
        </w:r>
        <w:r w:rsidRPr="00B644BF">
          <w:rPr>
            <w:rStyle w:val="a5"/>
            <w:rFonts w:ascii="Times New Roman" w:hAnsi="Times New Roman" w:cs="Times New Roman"/>
            <w:color w:val="auto"/>
            <w:sz w:val="24"/>
            <w:szCs w:val="24"/>
          </w:rPr>
          <w:t>-</w:t>
        </w:r>
        <w:r w:rsidRPr="00B644BF">
          <w:rPr>
            <w:rStyle w:val="a5"/>
            <w:rFonts w:ascii="Times New Roman" w:hAnsi="Times New Roman" w:cs="Times New Roman"/>
            <w:color w:val="auto"/>
            <w:sz w:val="24"/>
            <w:szCs w:val="24"/>
            <w:lang w:val="en-US"/>
          </w:rPr>
          <w:t>s</w:t>
        </w:r>
        <w:r w:rsidRPr="00B644BF">
          <w:rPr>
            <w:rStyle w:val="a5"/>
            <w:rFonts w:ascii="Times New Roman" w:hAnsi="Times New Roman" w:cs="Times New Roman"/>
            <w:color w:val="auto"/>
            <w:sz w:val="24"/>
            <w:szCs w:val="24"/>
          </w:rPr>
          <w:t>-</w:t>
        </w:r>
        <w:r w:rsidRPr="00B644BF">
          <w:rPr>
            <w:rStyle w:val="a5"/>
            <w:rFonts w:ascii="Times New Roman" w:hAnsi="Times New Roman" w:cs="Times New Roman"/>
            <w:color w:val="auto"/>
            <w:sz w:val="24"/>
            <w:szCs w:val="24"/>
            <w:lang w:val="en-US"/>
          </w:rPr>
          <w:t>zamkom</w:t>
        </w:r>
        <w:r w:rsidRPr="00B644BF">
          <w:rPr>
            <w:rStyle w:val="a5"/>
            <w:rFonts w:ascii="Times New Roman" w:hAnsi="Times New Roman" w:cs="Times New Roman"/>
            <w:color w:val="auto"/>
            <w:sz w:val="24"/>
            <w:szCs w:val="24"/>
          </w:rPr>
          <w:t>-</w:t>
        </w:r>
        <w:r w:rsidRPr="00B644BF">
          <w:rPr>
            <w:rStyle w:val="a5"/>
            <w:rFonts w:ascii="Times New Roman" w:hAnsi="Times New Roman" w:cs="Times New Roman"/>
            <w:color w:val="auto"/>
            <w:sz w:val="24"/>
            <w:szCs w:val="24"/>
            <w:lang w:val="en-US"/>
          </w:rPr>
          <w:t>i</w:t>
        </w:r>
        <w:r w:rsidRPr="00B644BF">
          <w:rPr>
            <w:rStyle w:val="a5"/>
            <w:rFonts w:ascii="Times New Roman" w:hAnsi="Times New Roman" w:cs="Times New Roman"/>
            <w:color w:val="auto"/>
            <w:sz w:val="24"/>
            <w:szCs w:val="24"/>
          </w:rPr>
          <w:t>-</w:t>
        </w:r>
        <w:r w:rsidRPr="00B644BF">
          <w:rPr>
            <w:rStyle w:val="a5"/>
            <w:rFonts w:ascii="Times New Roman" w:hAnsi="Times New Roman" w:cs="Times New Roman"/>
            <w:color w:val="auto"/>
            <w:sz w:val="24"/>
            <w:szCs w:val="24"/>
            <w:lang w:val="en-US"/>
          </w:rPr>
          <w:t>kak</w:t>
        </w:r>
        <w:r w:rsidRPr="00B644BF">
          <w:rPr>
            <w:rStyle w:val="a5"/>
            <w:rFonts w:ascii="Times New Roman" w:hAnsi="Times New Roman" w:cs="Times New Roman"/>
            <w:color w:val="auto"/>
            <w:sz w:val="24"/>
            <w:szCs w:val="24"/>
          </w:rPr>
          <w:t>-</w:t>
        </w:r>
        <w:r w:rsidRPr="00B644BF">
          <w:rPr>
            <w:rStyle w:val="a5"/>
            <w:rFonts w:ascii="Times New Roman" w:hAnsi="Times New Roman" w:cs="Times New Roman"/>
            <w:color w:val="auto"/>
            <w:sz w:val="24"/>
            <w:szCs w:val="24"/>
            <w:lang w:val="en-US"/>
          </w:rPr>
          <w:t>uchenye</w:t>
        </w:r>
        <w:r w:rsidRPr="00B644BF">
          <w:rPr>
            <w:rStyle w:val="a5"/>
            <w:rFonts w:ascii="Times New Roman" w:hAnsi="Times New Roman" w:cs="Times New Roman"/>
            <w:color w:val="auto"/>
            <w:sz w:val="24"/>
            <w:szCs w:val="24"/>
          </w:rPr>
          <w:t>-</w:t>
        </w:r>
        <w:r w:rsidRPr="00B644BF">
          <w:rPr>
            <w:rStyle w:val="a5"/>
            <w:rFonts w:ascii="Times New Roman" w:hAnsi="Times New Roman" w:cs="Times New Roman"/>
            <w:color w:val="auto"/>
            <w:sz w:val="24"/>
            <w:szCs w:val="24"/>
            <w:lang w:val="en-US"/>
          </w:rPr>
          <w:t>iskali</w:t>
        </w:r>
        <w:r w:rsidRPr="00B644BF">
          <w:rPr>
            <w:rStyle w:val="a5"/>
            <w:rFonts w:ascii="Times New Roman" w:hAnsi="Times New Roman" w:cs="Times New Roman"/>
            <w:color w:val="auto"/>
            <w:sz w:val="24"/>
            <w:szCs w:val="24"/>
          </w:rPr>
          <w:t>-</w:t>
        </w:r>
        <w:r w:rsidRPr="00B644BF">
          <w:rPr>
            <w:rStyle w:val="a5"/>
            <w:rFonts w:ascii="Times New Roman" w:hAnsi="Times New Roman" w:cs="Times New Roman"/>
            <w:color w:val="auto"/>
            <w:sz w:val="24"/>
            <w:szCs w:val="24"/>
            <w:lang w:val="en-US"/>
          </w:rPr>
          <w:t>ikh</w:t>
        </w:r>
        <w:r w:rsidRPr="00B644BF">
          <w:rPr>
            <w:rStyle w:val="a5"/>
            <w:rFonts w:ascii="Times New Roman" w:hAnsi="Times New Roman" w:cs="Times New Roman"/>
            <w:color w:val="auto"/>
            <w:sz w:val="24"/>
            <w:szCs w:val="24"/>
          </w:rPr>
          <w:t>.</w:t>
        </w:r>
        <w:r w:rsidRPr="00B644BF">
          <w:rPr>
            <w:rStyle w:val="a5"/>
            <w:rFonts w:ascii="Times New Roman" w:hAnsi="Times New Roman" w:cs="Times New Roman"/>
            <w:color w:val="auto"/>
            <w:sz w:val="24"/>
            <w:szCs w:val="24"/>
            <w:lang w:val="en-US"/>
          </w:rPr>
          <w:t>html</w:t>
        </w:r>
      </w:hyperlink>
      <w:r w:rsidRPr="00B644BF">
        <w:rPr>
          <w:rFonts w:ascii="Times New Roman" w:hAnsi="Times New Roman" w:cs="Times New Roman"/>
          <w:sz w:val="24"/>
          <w:szCs w:val="24"/>
        </w:rPr>
        <w:t>.  – Дата публ. 11 ноября 2010.</w:t>
      </w:r>
    </w:p>
    <w:p w:rsidR="00507CF9" w:rsidRPr="00B644BF" w:rsidRDefault="00507CF9" w:rsidP="004611AA">
      <w:pPr>
        <w:pStyle w:val="a7"/>
        <w:numPr>
          <w:ilvl w:val="0"/>
          <w:numId w:val="19"/>
        </w:numPr>
        <w:spacing w:after="0" w:line="240" w:lineRule="auto"/>
        <w:ind w:left="0" w:firstLine="709"/>
        <w:jc w:val="both"/>
        <w:rPr>
          <w:rFonts w:ascii="Times New Roman" w:hAnsi="Times New Roman" w:cs="Times New Roman"/>
          <w:sz w:val="24"/>
          <w:szCs w:val="24"/>
        </w:rPr>
      </w:pPr>
      <w:r w:rsidRPr="00B644BF">
        <w:rPr>
          <w:rFonts w:ascii="Times New Roman" w:hAnsi="Times New Roman" w:cs="Times New Roman"/>
          <w:sz w:val="24"/>
          <w:szCs w:val="24"/>
        </w:rPr>
        <w:t xml:space="preserve">Квитницкая, Е. Д. Архитектура XVII в. // Всеобщая история архитектуры. </w:t>
      </w:r>
      <w:r w:rsidRPr="00B644BF">
        <w:rPr>
          <w:rFonts w:ascii="Times New Roman" w:hAnsi="Times New Roman" w:cs="Times New Roman"/>
          <w:sz w:val="28"/>
          <w:szCs w:val="28"/>
        </w:rPr>
        <w:t>–</w:t>
      </w:r>
      <w:r w:rsidRPr="00B644BF">
        <w:rPr>
          <w:rFonts w:ascii="Times New Roman" w:hAnsi="Times New Roman" w:cs="Times New Roman"/>
          <w:sz w:val="24"/>
          <w:szCs w:val="24"/>
        </w:rPr>
        <w:t xml:space="preserve"> 1968. </w:t>
      </w:r>
      <w:r w:rsidRPr="00B644BF">
        <w:rPr>
          <w:rFonts w:ascii="Times New Roman" w:hAnsi="Times New Roman" w:cs="Times New Roman"/>
          <w:sz w:val="28"/>
          <w:szCs w:val="28"/>
        </w:rPr>
        <w:t>–</w:t>
      </w:r>
      <w:r w:rsidRPr="00B644BF">
        <w:rPr>
          <w:rFonts w:ascii="Times New Roman" w:hAnsi="Times New Roman" w:cs="Times New Roman"/>
          <w:sz w:val="24"/>
          <w:szCs w:val="24"/>
        </w:rPr>
        <w:t xml:space="preserve">Т. 6. </w:t>
      </w:r>
      <w:r w:rsidRPr="00B644BF">
        <w:rPr>
          <w:rFonts w:ascii="Times New Roman" w:hAnsi="Times New Roman" w:cs="Times New Roman"/>
          <w:sz w:val="28"/>
          <w:szCs w:val="28"/>
        </w:rPr>
        <w:t xml:space="preserve">– </w:t>
      </w:r>
      <w:r w:rsidRPr="00B644BF">
        <w:rPr>
          <w:rFonts w:ascii="Times New Roman" w:hAnsi="Times New Roman" w:cs="Times New Roman"/>
          <w:sz w:val="24"/>
          <w:szCs w:val="24"/>
        </w:rPr>
        <w:t>С. 477-479.</w:t>
      </w:r>
    </w:p>
    <w:p w:rsidR="00507CF9" w:rsidRPr="00B644BF" w:rsidRDefault="00507CF9" w:rsidP="004611AA">
      <w:pPr>
        <w:pStyle w:val="a7"/>
        <w:numPr>
          <w:ilvl w:val="0"/>
          <w:numId w:val="19"/>
        </w:numPr>
        <w:spacing w:after="0" w:line="240" w:lineRule="auto"/>
        <w:ind w:left="0" w:firstLine="709"/>
        <w:jc w:val="both"/>
        <w:rPr>
          <w:rFonts w:ascii="Times New Roman" w:hAnsi="Times New Roman" w:cs="Times New Roman"/>
          <w:sz w:val="24"/>
          <w:szCs w:val="24"/>
        </w:rPr>
      </w:pPr>
      <w:r w:rsidRPr="00B644BF">
        <w:rPr>
          <w:rFonts w:ascii="Times New Roman" w:hAnsi="Times New Roman" w:cs="Times New Roman"/>
          <w:sz w:val="24"/>
          <w:szCs w:val="24"/>
        </w:rPr>
        <w:t>Кодэкс Рэспублікі Беларусь аб культуры : 20 ліп. 2016 г., № 413-З : прыняты Палатай прадстаўнікоў 24 чэрв. 2016 г. : адобр. Саветам Рэсп. 30 чэрв. 2016 г. : у рэд. Закона Рэсп. Беларусь ад 15 крас. 2026 г., № 139-З // ЭТАЛОН. Заканадаўства Рэспублікі Беларусь [Электронны рэсурс] / Нац. цэнтр прававой інфарм. Рэсп. Беларусь. – Мінск, 2026. – Дата доступу: 03.05.2026.</w:t>
      </w:r>
    </w:p>
    <w:p w:rsidR="00507CF9" w:rsidRPr="00B644BF" w:rsidRDefault="00507CF9" w:rsidP="004611AA">
      <w:pPr>
        <w:pStyle w:val="a7"/>
        <w:numPr>
          <w:ilvl w:val="0"/>
          <w:numId w:val="19"/>
        </w:numPr>
        <w:spacing w:after="0" w:line="240" w:lineRule="auto"/>
        <w:ind w:left="0" w:firstLine="709"/>
        <w:jc w:val="both"/>
        <w:rPr>
          <w:rFonts w:ascii="Times New Roman" w:hAnsi="Times New Roman" w:cs="Times New Roman"/>
          <w:sz w:val="24"/>
          <w:szCs w:val="24"/>
        </w:rPr>
      </w:pPr>
      <w:r w:rsidRPr="00B644BF">
        <w:rPr>
          <w:rFonts w:ascii="Times New Roman" w:hAnsi="Times New Roman" w:cs="Times New Roman"/>
          <w:sz w:val="24"/>
          <w:szCs w:val="24"/>
        </w:rPr>
        <w:t xml:space="preserve">Коласаў, А. У. Археалагічныя помнікі Археалогія Беларусі : энцыклапедыя. У 2 т. Т. 1 A-К / рэдкал. : Т. У Бялова (гал. рэд.) [і інш.]. </w:t>
      </w:r>
      <w:r w:rsidRPr="00B644BF">
        <w:rPr>
          <w:rFonts w:ascii="Times New Roman" w:hAnsi="Times New Roman" w:cs="Times New Roman"/>
          <w:sz w:val="28"/>
          <w:szCs w:val="28"/>
        </w:rPr>
        <w:t xml:space="preserve">– </w:t>
      </w:r>
      <w:r w:rsidRPr="00B644BF">
        <w:rPr>
          <w:rFonts w:ascii="Times New Roman" w:hAnsi="Times New Roman" w:cs="Times New Roman"/>
          <w:sz w:val="24"/>
          <w:szCs w:val="24"/>
        </w:rPr>
        <w:t xml:space="preserve">Мінск : Беларус. Энцыкл. Імя П. Броўкі, 2009. </w:t>
      </w:r>
      <w:r w:rsidRPr="00B644BF">
        <w:rPr>
          <w:rFonts w:ascii="Times New Roman" w:hAnsi="Times New Roman" w:cs="Times New Roman"/>
          <w:sz w:val="28"/>
          <w:szCs w:val="28"/>
        </w:rPr>
        <w:t>–</w:t>
      </w:r>
      <w:r w:rsidRPr="00B644BF">
        <w:rPr>
          <w:rFonts w:ascii="Times New Roman" w:hAnsi="Times New Roman" w:cs="Times New Roman"/>
          <w:sz w:val="24"/>
          <w:szCs w:val="24"/>
        </w:rPr>
        <w:t xml:space="preserve"> 496 с.</w:t>
      </w:r>
    </w:p>
    <w:p w:rsidR="00507CF9" w:rsidRPr="00B644BF" w:rsidRDefault="00507CF9" w:rsidP="004611AA">
      <w:pPr>
        <w:pStyle w:val="a7"/>
        <w:numPr>
          <w:ilvl w:val="0"/>
          <w:numId w:val="19"/>
        </w:numPr>
        <w:spacing w:after="0" w:line="240" w:lineRule="auto"/>
        <w:ind w:left="0" w:firstLine="709"/>
        <w:jc w:val="both"/>
        <w:rPr>
          <w:rFonts w:ascii="Times New Roman" w:hAnsi="Times New Roman" w:cs="Times New Roman"/>
          <w:sz w:val="24"/>
          <w:szCs w:val="24"/>
        </w:rPr>
      </w:pPr>
      <w:r w:rsidRPr="00B644BF">
        <w:rPr>
          <w:rFonts w:ascii="Times New Roman" w:hAnsi="Times New Roman" w:cs="Times New Roman"/>
          <w:sz w:val="24"/>
          <w:szCs w:val="24"/>
        </w:rPr>
        <w:t>О Государственной программе «Культурное пространство» на 2026–2030 годы : постановление Совета Министров Респ. Беларусь, 30 дек. 2025 г., № 800 // ЭТАЛОН. Законодательство Республики Беларусь [Электронный ресурс] / Нац. центр правовой информ. Респ. Беларусь. – Минск, 2026. – Дата доступа: 03.05.2026.</w:t>
      </w:r>
    </w:p>
    <w:p w:rsidR="00507CF9" w:rsidRPr="00B644BF" w:rsidRDefault="00507CF9" w:rsidP="004611AA">
      <w:pPr>
        <w:pStyle w:val="a7"/>
        <w:numPr>
          <w:ilvl w:val="0"/>
          <w:numId w:val="19"/>
        </w:numPr>
        <w:spacing w:after="0" w:line="240" w:lineRule="auto"/>
        <w:ind w:left="0" w:firstLine="709"/>
        <w:jc w:val="both"/>
        <w:rPr>
          <w:rFonts w:ascii="Times New Roman" w:hAnsi="Times New Roman" w:cs="Times New Roman"/>
          <w:sz w:val="24"/>
          <w:szCs w:val="24"/>
        </w:rPr>
      </w:pPr>
      <w:r w:rsidRPr="00B644BF">
        <w:rPr>
          <w:rFonts w:ascii="Times New Roman" w:hAnsi="Times New Roman" w:cs="Times New Roman"/>
          <w:sz w:val="24"/>
          <w:szCs w:val="24"/>
        </w:rPr>
        <w:t>О государственно-частном партнерстве :  Закон Республики Беларусь от 30 декабря 2015 г. № 345-З Принят Палатой представителей 10 декабря 2015 г. : одобр. Советом Респ. 18 декабря 2015 года : в ред. от 16 марта 2026 г. № 134-З // ЭТАЛОН : информ.-поисковая система (дата обращения: 05.05.2026).</w:t>
      </w:r>
    </w:p>
    <w:p w:rsidR="004611AA" w:rsidRDefault="004611AA" w:rsidP="004611AA">
      <w:pPr>
        <w:rPr>
          <w:rFonts w:ascii="Times New Roman" w:hAnsi="Times New Roman" w:cs="Times New Roman"/>
          <w:b/>
          <w:sz w:val="28"/>
          <w:szCs w:val="28"/>
        </w:rPr>
      </w:pPr>
    </w:p>
    <w:p w:rsidR="00507CF9" w:rsidRPr="00B644BF" w:rsidRDefault="00507CF9" w:rsidP="004611AA">
      <w:pPr>
        <w:spacing w:after="0" w:line="240" w:lineRule="auto"/>
        <w:ind w:firstLine="709"/>
        <w:jc w:val="center"/>
        <w:rPr>
          <w:rFonts w:ascii="Times New Roman" w:hAnsi="Times New Roman" w:cs="Times New Roman"/>
          <w:b/>
          <w:sz w:val="28"/>
          <w:szCs w:val="28"/>
        </w:rPr>
      </w:pPr>
      <w:r w:rsidRPr="00B644BF">
        <w:rPr>
          <w:rFonts w:ascii="Times New Roman" w:hAnsi="Times New Roman" w:cs="Times New Roman"/>
          <w:b/>
          <w:sz w:val="28"/>
          <w:szCs w:val="28"/>
        </w:rPr>
        <w:t>ПРОБЛЕМЫ ЗАЩИТЫ РОДИТЕЛЬСКИХ ПРАВ</w:t>
      </w:r>
    </w:p>
    <w:p w:rsidR="00507CF9" w:rsidRDefault="00507CF9" w:rsidP="004611AA">
      <w:pPr>
        <w:spacing w:after="0" w:line="240" w:lineRule="auto"/>
        <w:ind w:firstLine="709"/>
        <w:jc w:val="center"/>
        <w:rPr>
          <w:rFonts w:ascii="Times New Roman" w:hAnsi="Times New Roman" w:cs="Times New Roman"/>
          <w:b/>
          <w:sz w:val="28"/>
          <w:szCs w:val="28"/>
        </w:rPr>
      </w:pPr>
      <w:r w:rsidRPr="00B644BF">
        <w:rPr>
          <w:rFonts w:ascii="Times New Roman" w:hAnsi="Times New Roman" w:cs="Times New Roman"/>
          <w:b/>
          <w:sz w:val="28"/>
          <w:szCs w:val="28"/>
        </w:rPr>
        <w:t>В РЕСПУБЛИКЕ БЕЛАРУСЬ</w:t>
      </w:r>
    </w:p>
    <w:p w:rsidR="004611AA" w:rsidRPr="00B644BF" w:rsidRDefault="004611AA" w:rsidP="004611AA">
      <w:pPr>
        <w:spacing w:after="0" w:line="240" w:lineRule="auto"/>
        <w:ind w:firstLine="709"/>
        <w:jc w:val="center"/>
        <w:rPr>
          <w:rFonts w:ascii="Times New Roman" w:hAnsi="Times New Roman" w:cs="Times New Roman"/>
          <w:b/>
          <w:sz w:val="28"/>
          <w:szCs w:val="28"/>
        </w:rPr>
      </w:pPr>
    </w:p>
    <w:p w:rsidR="00507CF9" w:rsidRPr="00B644BF" w:rsidRDefault="00507CF9" w:rsidP="004611AA">
      <w:pPr>
        <w:spacing w:after="0" w:line="240" w:lineRule="auto"/>
        <w:ind w:firstLine="709"/>
        <w:jc w:val="center"/>
        <w:rPr>
          <w:rFonts w:ascii="Times New Roman" w:hAnsi="Times New Roman" w:cs="Times New Roman"/>
          <w:b/>
          <w:sz w:val="28"/>
          <w:szCs w:val="28"/>
        </w:rPr>
      </w:pPr>
      <w:r w:rsidRPr="00B644BF">
        <w:rPr>
          <w:rFonts w:ascii="Times New Roman" w:hAnsi="Times New Roman" w:cs="Times New Roman"/>
          <w:b/>
          <w:sz w:val="28"/>
          <w:szCs w:val="28"/>
        </w:rPr>
        <w:t>Третьякова Жанна Владимировна</w:t>
      </w:r>
    </w:p>
    <w:p w:rsidR="00507CF9" w:rsidRPr="00B644BF" w:rsidRDefault="00507CF9" w:rsidP="004611AA">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доцент кафедры юриспруденции</w:t>
      </w:r>
    </w:p>
    <w:p w:rsidR="00507CF9" w:rsidRPr="00B644BF" w:rsidRDefault="00507CF9" w:rsidP="004611AA">
      <w:pPr>
        <w:spacing w:after="0" w:line="240" w:lineRule="auto"/>
        <w:ind w:firstLine="709"/>
        <w:jc w:val="center"/>
        <w:rPr>
          <w:rFonts w:ascii="Times New Roman" w:hAnsi="Times New Roman" w:cs="Times New Roman"/>
          <w:sz w:val="28"/>
          <w:szCs w:val="28"/>
          <w:lang w:val="be-BY"/>
        </w:rPr>
      </w:pPr>
      <w:r w:rsidRPr="00B644BF">
        <w:rPr>
          <w:rFonts w:ascii="Times New Roman" w:hAnsi="Times New Roman" w:cs="Times New Roman"/>
          <w:sz w:val="28"/>
          <w:szCs w:val="28"/>
        </w:rPr>
        <w:t>учреждения образования «Могилевский государственный университет имени А.А. Кулешова»; кандидат юридических наук, доцент</w:t>
      </w:r>
    </w:p>
    <w:p w:rsidR="00507CF9" w:rsidRPr="00B644BF" w:rsidRDefault="00507CF9" w:rsidP="004611AA">
      <w:pPr>
        <w:widowControl w:val="0"/>
        <w:tabs>
          <w:tab w:val="left" w:pos="7200"/>
        </w:tabs>
        <w:spacing w:after="0" w:line="240" w:lineRule="auto"/>
        <w:ind w:firstLine="709"/>
        <w:jc w:val="center"/>
        <w:rPr>
          <w:rFonts w:ascii="Times New Roman" w:hAnsi="Times New Roman" w:cs="Times New Roman"/>
          <w:spacing w:val="-4"/>
          <w:sz w:val="28"/>
          <w:szCs w:val="28"/>
          <w:lang w:val="be-BY"/>
        </w:rPr>
      </w:pPr>
      <w:r w:rsidRPr="00B644BF">
        <w:rPr>
          <w:rFonts w:ascii="Times New Roman" w:hAnsi="Times New Roman" w:cs="Times New Roman"/>
          <w:sz w:val="28"/>
          <w:szCs w:val="28"/>
        </w:rPr>
        <w:t>(г. Могилев, Беларусь)</w:t>
      </w:r>
    </w:p>
    <w:p w:rsidR="00507CF9" w:rsidRPr="004611AA" w:rsidRDefault="00F975FD" w:rsidP="004611AA">
      <w:pPr>
        <w:tabs>
          <w:tab w:val="left" w:pos="3960"/>
        </w:tabs>
        <w:spacing w:after="0" w:line="240" w:lineRule="auto"/>
        <w:ind w:firstLine="709"/>
        <w:jc w:val="center"/>
        <w:rPr>
          <w:rFonts w:ascii="Times New Roman" w:hAnsi="Times New Roman" w:cs="Times New Roman"/>
          <w:sz w:val="28"/>
          <w:szCs w:val="28"/>
        </w:rPr>
      </w:pPr>
      <w:hyperlink r:id="rId28" w:history="1">
        <w:r w:rsidR="00507CF9" w:rsidRPr="004611AA">
          <w:rPr>
            <w:rStyle w:val="a5"/>
            <w:rFonts w:ascii="Times New Roman" w:hAnsi="Times New Roman" w:cs="Times New Roman"/>
            <w:color w:val="auto"/>
            <w:sz w:val="28"/>
            <w:szCs w:val="28"/>
            <w:u w:val="none"/>
            <w:lang w:val="en-US"/>
          </w:rPr>
          <w:t>Janna</w:t>
        </w:r>
        <w:r w:rsidR="00507CF9" w:rsidRPr="004611AA">
          <w:rPr>
            <w:rStyle w:val="a5"/>
            <w:rFonts w:ascii="Times New Roman" w:hAnsi="Times New Roman" w:cs="Times New Roman"/>
            <w:color w:val="auto"/>
            <w:sz w:val="28"/>
            <w:szCs w:val="28"/>
            <w:u w:val="none"/>
            <w:lang w:val="be-BY"/>
          </w:rPr>
          <w:t>-</w:t>
        </w:r>
        <w:r w:rsidR="00507CF9" w:rsidRPr="004611AA">
          <w:rPr>
            <w:rStyle w:val="a5"/>
            <w:rFonts w:ascii="Times New Roman" w:hAnsi="Times New Roman" w:cs="Times New Roman"/>
            <w:color w:val="auto"/>
            <w:sz w:val="28"/>
            <w:szCs w:val="28"/>
            <w:u w:val="none"/>
            <w:lang w:val="en-US"/>
          </w:rPr>
          <w:t>vlad</w:t>
        </w:r>
        <w:r w:rsidR="00507CF9" w:rsidRPr="004611AA">
          <w:rPr>
            <w:rStyle w:val="a5"/>
            <w:rFonts w:ascii="Times New Roman" w:hAnsi="Times New Roman" w:cs="Times New Roman"/>
            <w:color w:val="auto"/>
            <w:sz w:val="28"/>
            <w:szCs w:val="28"/>
            <w:u w:val="none"/>
            <w:lang w:val="be-BY"/>
          </w:rPr>
          <w:t>@</w:t>
        </w:r>
        <w:r w:rsidR="00507CF9" w:rsidRPr="004611AA">
          <w:rPr>
            <w:rStyle w:val="a5"/>
            <w:rFonts w:ascii="Times New Roman" w:hAnsi="Times New Roman" w:cs="Times New Roman"/>
            <w:color w:val="auto"/>
            <w:sz w:val="28"/>
            <w:szCs w:val="28"/>
            <w:u w:val="none"/>
            <w:lang w:val="en-US"/>
          </w:rPr>
          <w:t>mail</w:t>
        </w:r>
        <w:r w:rsidR="00507CF9" w:rsidRPr="004611AA">
          <w:rPr>
            <w:rStyle w:val="a5"/>
            <w:rFonts w:ascii="Times New Roman" w:hAnsi="Times New Roman" w:cs="Times New Roman"/>
            <w:color w:val="auto"/>
            <w:sz w:val="28"/>
            <w:szCs w:val="28"/>
            <w:u w:val="none"/>
            <w:lang w:val="be-BY"/>
          </w:rPr>
          <w:t>.</w:t>
        </w:r>
        <w:r w:rsidR="00507CF9" w:rsidRPr="004611AA">
          <w:rPr>
            <w:rStyle w:val="a5"/>
            <w:rFonts w:ascii="Times New Roman" w:hAnsi="Times New Roman" w:cs="Times New Roman"/>
            <w:color w:val="auto"/>
            <w:sz w:val="28"/>
            <w:szCs w:val="28"/>
            <w:u w:val="none"/>
            <w:lang w:val="en-US"/>
          </w:rPr>
          <w:t>ru</w:t>
        </w:r>
      </w:hyperlink>
    </w:p>
    <w:p w:rsidR="00507CF9" w:rsidRPr="00B644BF" w:rsidRDefault="00507CF9" w:rsidP="004611AA">
      <w:pPr>
        <w:tabs>
          <w:tab w:val="left" w:pos="3960"/>
        </w:tabs>
        <w:spacing w:after="0" w:line="240" w:lineRule="auto"/>
        <w:ind w:firstLine="709"/>
        <w:jc w:val="center"/>
        <w:rPr>
          <w:rFonts w:ascii="Times New Roman" w:hAnsi="Times New Roman" w:cs="Times New Roman"/>
          <w:sz w:val="28"/>
          <w:szCs w:val="28"/>
          <w:lang w:val="be-BY"/>
        </w:rPr>
      </w:pPr>
    </w:p>
    <w:p w:rsidR="00507CF9" w:rsidRPr="00B644BF" w:rsidRDefault="00507CF9" w:rsidP="004611AA">
      <w:pPr>
        <w:spacing w:after="0" w:line="240" w:lineRule="auto"/>
        <w:ind w:firstLine="709"/>
        <w:jc w:val="both"/>
        <w:rPr>
          <w:rFonts w:ascii="Times New Roman" w:hAnsi="Times New Roman" w:cs="Times New Roman"/>
          <w:sz w:val="24"/>
          <w:szCs w:val="24"/>
        </w:rPr>
      </w:pPr>
      <w:r w:rsidRPr="00B644BF">
        <w:rPr>
          <w:rFonts w:ascii="Times New Roman" w:hAnsi="Times New Roman" w:cs="Times New Roman"/>
          <w:b/>
          <w:sz w:val="24"/>
          <w:szCs w:val="24"/>
          <w:lang w:val="be-BY"/>
        </w:rPr>
        <w:t>Аннотация.</w:t>
      </w:r>
      <w:r w:rsidRPr="00B644BF">
        <w:rPr>
          <w:rFonts w:ascii="Times New Roman" w:hAnsi="Times New Roman" w:cs="Times New Roman"/>
          <w:sz w:val="24"/>
          <w:szCs w:val="24"/>
          <w:lang w:val="be-BY"/>
        </w:rPr>
        <w:t xml:space="preserve"> </w:t>
      </w:r>
      <w:r w:rsidRPr="00B644BF">
        <w:rPr>
          <w:rFonts w:ascii="Times New Roman" w:hAnsi="Times New Roman" w:cs="Times New Roman"/>
          <w:sz w:val="24"/>
          <w:szCs w:val="24"/>
        </w:rPr>
        <w:t xml:space="preserve">В статье поднимаются проблемные вопросы защиты родительских прав. Делается вывод о необходимости дополнения  ч. 1 ст. 79 КоБС правовой нормой  о  том, что родители имеют преимущественное право перед другими лицами на воспитание своих детей, за исключением случаев, не отвечающих законным интересам детей.  </w:t>
      </w:r>
    </w:p>
    <w:p w:rsidR="00507CF9" w:rsidRPr="00B644BF" w:rsidRDefault="00507CF9" w:rsidP="004611AA">
      <w:pPr>
        <w:widowControl w:val="0"/>
        <w:tabs>
          <w:tab w:val="left" w:pos="7200"/>
        </w:tabs>
        <w:spacing w:after="0" w:line="240" w:lineRule="auto"/>
        <w:ind w:firstLine="709"/>
        <w:jc w:val="both"/>
        <w:rPr>
          <w:rFonts w:ascii="Times New Roman" w:hAnsi="Times New Roman" w:cs="Times New Roman"/>
          <w:sz w:val="24"/>
          <w:szCs w:val="24"/>
        </w:rPr>
      </w:pPr>
      <w:r w:rsidRPr="00B644BF">
        <w:rPr>
          <w:rFonts w:ascii="Times New Roman" w:hAnsi="Times New Roman" w:cs="Times New Roman"/>
          <w:b/>
          <w:sz w:val="24"/>
          <w:szCs w:val="24"/>
        </w:rPr>
        <w:lastRenderedPageBreak/>
        <w:t xml:space="preserve">Ключевые слова. </w:t>
      </w:r>
      <w:r w:rsidRPr="00B644BF">
        <w:rPr>
          <w:rFonts w:ascii="Times New Roman" w:hAnsi="Times New Roman" w:cs="Times New Roman"/>
          <w:sz w:val="24"/>
          <w:szCs w:val="24"/>
        </w:rPr>
        <w:t>Родители, дети, воспитание, права, обязанности, интересы.</w:t>
      </w:r>
    </w:p>
    <w:p w:rsidR="00507CF9" w:rsidRPr="00B644BF" w:rsidRDefault="00507CF9" w:rsidP="004611AA">
      <w:pPr>
        <w:widowControl w:val="0"/>
        <w:tabs>
          <w:tab w:val="left" w:pos="7200"/>
        </w:tabs>
        <w:spacing w:after="0" w:line="240" w:lineRule="auto"/>
        <w:ind w:firstLine="709"/>
        <w:jc w:val="both"/>
        <w:rPr>
          <w:rFonts w:ascii="Times New Roman" w:hAnsi="Times New Roman" w:cs="Times New Roman"/>
          <w:sz w:val="24"/>
          <w:szCs w:val="24"/>
        </w:rPr>
      </w:pPr>
    </w:p>
    <w:p w:rsidR="00507CF9" w:rsidRPr="00B644BF" w:rsidRDefault="00507CF9" w:rsidP="004611AA">
      <w:pPr>
        <w:shd w:val="clear" w:color="auto" w:fill="FFFFFF"/>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Конституция Республики Беларусь провозгласила, что родители имеют право и обязаны воспитывать детей, заботиться об их здоровье, развитии и обучении, готовить к общественно полезному труду, прививать культуру и уважение к законам, историческим и национальным традициям Беларуси  (ч. 3 ст. 32). Таким образом, забота о детях, их воспитание – это и право, и обязанность родителей, что в общем виде является содержанием родительских прав и обязанностей. </w:t>
      </w:r>
    </w:p>
    <w:p w:rsidR="00507CF9" w:rsidRPr="00B644BF" w:rsidRDefault="00507CF9" w:rsidP="004611AA">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Согласно ч. 1 ст. 76 Кодекса Республики Беларусь о браке и семье (далее – КоБС) [1] отец и мать имеют равные права и обязанности в отношении своих детей. Объем этих прав не зависит от того, родились дети в зарегистрированном браке или нет, установлено отцовство в судебном порядке или признано добровольно. Если другие лица (в том числе и близкие родственники) удерживают ребенка у себя без законных оснований, то их действия нарушают родительские права. </w:t>
      </w:r>
    </w:p>
    <w:p w:rsidR="00507CF9" w:rsidRPr="00B644BF" w:rsidRDefault="00507CF9" w:rsidP="004611AA">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Закон защищает родительские права и на основании ч. 1 ст. 79 КоБС родители вправе требовать возврата детей от любого лица, удерживающего детей у себя без законных оснований, путем предъявления в суд иска о возврате детей. Иск в защиту родительских прав может быть предъявлен также органом опеки и попечительства или прокурором. Следует отметить, что в судебных спорах такого рода требование родителей о возврате ребенка удовлетворяется не всегда. На основании ч. 2 ст. 79 КоБС суд вправе отказать в удовлетворении иска, если придет к выводу, что передача ребенка родителям не отвечает его интересам.  При этом суд учитывает продолжительность пребывания ребенка в семье лиц, которые фактически его воспитывали, а также желание ребенка, достигшего возраста десяти лет. </w:t>
      </w:r>
    </w:p>
    <w:p w:rsidR="00507CF9" w:rsidRPr="00B644BF" w:rsidRDefault="00507CF9" w:rsidP="004611AA">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Закон не содержит исчерпывающего перечня оснований, по которым суд может отказать родителям в удовлетворении их требований. Главное условие, которое должно выполняться при вынесении решения – обеспечение интересов ребенка и учет его желания. Следует отметить, что желание ребенка по поводу его возвращения родителям не является для суда безусловным основанием для удовлетворения иска либо отказе в нем. Ребенок в силу своего возраста и физического развития может не осознавать своих интересов. Поэтому для правильного разрешения спора суд должен учесть все фактические обстоятельства дела и обязательно привлечь к участию в нем орган опеки и попечительства, которым по результатам обследования условий жизни сторон составляется заключение по существу заявленного родителями требования. Если в ходе судебного разбирательства выяснится, что ни родители, ни лица, у которых находится ребенок, не в состоянии обеспечить надлежащее воспитание ребенка (не обеспечиваются права и законные интересы ребенка, в том </w:t>
      </w:r>
      <w:r w:rsidRPr="00B644BF">
        <w:rPr>
          <w:rFonts w:ascii="Times New Roman" w:hAnsi="Times New Roman" w:cs="Times New Roman"/>
          <w:sz w:val="28"/>
          <w:szCs w:val="28"/>
        </w:rPr>
        <w:lastRenderedPageBreak/>
        <w:t xml:space="preserve">числе ребенок находится в социально опасном положении), суд передает ребенка на попечение органа опеки и попечительства (ч. 3 ст. 79 КоБС). </w:t>
      </w:r>
    </w:p>
    <w:p w:rsidR="00507CF9" w:rsidRPr="00B644BF" w:rsidRDefault="00507CF9" w:rsidP="004611AA">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При этом деяния родителей по отношению к ребенку не всегда могут носить ярко выраженный виновный и противоправный характер. Например, может сложиться ситуация, при которой возвращение ребенка родителям лишает ребенка привычных условий жизни и может неблагоприятно повлиять на его дальнейшее развитие. В данном случае передача ребенка не отвечает его интересам, а, следовательно, указанное обстоятельство является основанием для отказа в удовлетворении требования родителей о передаче им ребенка. </w:t>
      </w:r>
    </w:p>
    <w:p w:rsidR="00507CF9" w:rsidRPr="00B644BF" w:rsidRDefault="00507CF9" w:rsidP="004611AA">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Родители пользуются равными правами и несут равные обязанности в отношении своих детей и в случае расторжения брака между ними, если иное не предусмотрено Соглашением о детях (ч. 2 ст. 76 КоБС) или Брачным договором. Родитель, проживающий отдельно от детей, имеет право общаться с ними и обязан принимать участие в их воспитании. Родитель, при котором проживают дети, не вправе препятствовать другому родителю общаться с детьми и участвовать в их воспитании (ч. 1 ст. 77 КоБС). Данные нормы сообразны положениям семейного права о равенстве прав и обязанностей родителей независимо от того проживают они совместно с ребенком или нет. В случае раздельного проживания родителей ребенок имеет право на общение как с отцом, так и с матерью, а также на получение заботы от каждого из них. Если родитель, который проживает с ребенком, ограничивает возможность общения ребенка с другим родителем либо препятствует этому общению, то в таком случае нарушаются права и законные интересы как родителя, проживающего отдельно от ребенка, так и самого ребенка. На этом основании законодатель в форме императивного предписания запретил родителю, проживающему с ребенком, препятствовать другому родителю общаться с ребенком и участвовать в его воспитании (ч. 1 ст. 77 КоБС). Следует указать, что данное правило не распространяется на те случаи, если общение родителя с ребенком ущемляет права и законные интересы ребенка, а также, если поведение родителей или одного из них нарушает Соглашение о детях или решение суда. В таком случае суд может принять решение об ограничении общения с ребенком одного или обоих родителей на определенный или неопределенный срок (ч. 2 ст. 77 КоБС). </w:t>
      </w:r>
    </w:p>
    <w:p w:rsidR="00507CF9" w:rsidRPr="00B644BF" w:rsidRDefault="00507CF9" w:rsidP="004611AA">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Законодательство Республики Беларусь не содержит правовых норм, гарантирующих родителю, проживающему отдельно от ребенка, получение достоверной информации о своем ребенке из воспитательных, лечебных и иных аналогичных учреждений. Для сравнения, в законодательстве Российской Федерации закреплено такое положение и на этом основании родитель, проживающий отдельно от ребенка, имеет право на получение полной информации о состоянии физического и психического здоровья своего ребенка, о его развитии, учебе, отношениях </w:t>
      </w:r>
      <w:r w:rsidRPr="00B644BF">
        <w:rPr>
          <w:rFonts w:ascii="Times New Roman" w:hAnsi="Times New Roman" w:cs="Times New Roman"/>
          <w:sz w:val="28"/>
          <w:szCs w:val="28"/>
        </w:rPr>
        <w:lastRenderedPageBreak/>
        <w:t>в коллективе. Причем указанные учреждения обязаны предоставить такую информацию по требованию родителя за исключением случаев наличия угрозы для жизни и здоровья ребенка со стороны родителя. Однако и в таком случае отказ в предоставлении информации может быть оспорен родителем в судебном порядке (п. 4 ст. 66 Семейного кодекса Российской Федерации) [3]. Полагается, что указанные правовые нормы можно позаимствовать и белорусскому законодателю, поскольку они в большей мере защищают родительские права отдельно проживающего от ребенка родителя. Указанные положения позволяют ему получить всю информацию о своем ребенке от компетентных лиц, без обращения за этим к родителю, проживающему с ребенком, с которым, возможно, на данный период сложились неприязненные отношения.</w:t>
      </w:r>
    </w:p>
    <w:p w:rsidR="00507CF9" w:rsidRPr="00B644BF" w:rsidRDefault="00507CF9" w:rsidP="004611AA">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Поскольку родители и вправе, и обязаны содержать и воспитывать своих детей, то они должны иметь на это преимущественное право перед другими лицами. Однако в действующем КоБС такая норма не определена. Ее отсутствие восполнил Пленум Верховного Суда Республики Беларусь в п. 14 постановления от 30.09.2004 г. № 11 «О практике рассмотрения судами споров, связанных с воспитанием детей» [2], который обозначил указанную норму. По мнению автора, эта норма должна быть закреплена законодательно. </w:t>
      </w:r>
      <w:r w:rsidRPr="00B644BF">
        <w:rPr>
          <w:rFonts w:ascii="Times New Roman" w:hAnsi="Times New Roman" w:cs="Times New Roman"/>
          <w:i/>
          <w:sz w:val="28"/>
          <w:szCs w:val="28"/>
        </w:rPr>
        <w:t>На этом основании предлагается ч. 1 ст. 79 КоБС дополнить правовой нормой следующего содержания: «Родители имеют преимущественное право перед другими лицами на воспитание своих детей, за исключением случаев, не отвечающих законным интересам детей».</w:t>
      </w:r>
      <w:r w:rsidRPr="00B644BF">
        <w:rPr>
          <w:rFonts w:ascii="Times New Roman" w:hAnsi="Times New Roman" w:cs="Times New Roman"/>
          <w:sz w:val="28"/>
          <w:szCs w:val="28"/>
        </w:rPr>
        <w:t xml:space="preserve"> Право на воспитание предполагает в качестве обязательного условия наличие возможности лично воспитывать ребенка. Следовательно, дополнение КоБС указанной нормой будет способствовать защите прав родителей. </w:t>
      </w:r>
    </w:p>
    <w:p w:rsidR="00507CF9" w:rsidRPr="00B644BF" w:rsidRDefault="00507CF9" w:rsidP="004611AA">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Подводя итог, следует отметить, что поскольку родители имеют определенные права в отношении своих несовершеннолетних детей, то указанные права должны быть защищены надлежащим образом от посягательств на них третьих лиц. Предлагаемые автором правовые нормы по совершенствованию действующего семейного законодательства в области защиты родительских прав будут в итоге способствовать укреплению семейных правоотношений вообще и родительского правоотношения в частности.  </w:t>
      </w:r>
    </w:p>
    <w:p w:rsidR="00507CF9" w:rsidRPr="00B644BF" w:rsidRDefault="00507CF9" w:rsidP="004611AA">
      <w:pPr>
        <w:autoSpaceDE w:val="0"/>
        <w:autoSpaceDN w:val="0"/>
        <w:adjustRightInd w:val="0"/>
        <w:spacing w:after="0" w:line="240" w:lineRule="auto"/>
        <w:ind w:firstLine="709"/>
        <w:jc w:val="center"/>
        <w:rPr>
          <w:rFonts w:ascii="Times New Roman" w:hAnsi="Times New Roman" w:cs="Times New Roman"/>
          <w:b/>
          <w:bCs/>
          <w:sz w:val="28"/>
          <w:szCs w:val="28"/>
        </w:rPr>
      </w:pPr>
    </w:p>
    <w:p w:rsidR="00507CF9" w:rsidRPr="00B644BF" w:rsidRDefault="00507CF9" w:rsidP="004611AA">
      <w:pPr>
        <w:autoSpaceDE w:val="0"/>
        <w:autoSpaceDN w:val="0"/>
        <w:adjustRightInd w:val="0"/>
        <w:spacing w:after="0" w:line="240" w:lineRule="auto"/>
        <w:ind w:firstLine="709"/>
        <w:jc w:val="center"/>
        <w:rPr>
          <w:rFonts w:ascii="Times New Roman" w:hAnsi="Times New Roman" w:cs="Times New Roman"/>
          <w:b/>
          <w:bCs/>
          <w:sz w:val="28"/>
          <w:szCs w:val="28"/>
        </w:rPr>
      </w:pPr>
      <w:r w:rsidRPr="00B644BF">
        <w:rPr>
          <w:rFonts w:ascii="Times New Roman" w:hAnsi="Times New Roman" w:cs="Times New Roman"/>
          <w:b/>
          <w:bCs/>
          <w:sz w:val="28"/>
          <w:szCs w:val="28"/>
        </w:rPr>
        <w:t>Список литературы</w:t>
      </w:r>
    </w:p>
    <w:p w:rsidR="00507CF9" w:rsidRPr="00B644BF" w:rsidRDefault="00507CF9" w:rsidP="004611AA">
      <w:pPr>
        <w:autoSpaceDE w:val="0"/>
        <w:autoSpaceDN w:val="0"/>
        <w:adjustRightInd w:val="0"/>
        <w:spacing w:after="0" w:line="240" w:lineRule="auto"/>
        <w:ind w:firstLine="709"/>
        <w:jc w:val="both"/>
        <w:rPr>
          <w:rFonts w:ascii="Times New Roman" w:hAnsi="Times New Roman" w:cs="Times New Roman"/>
          <w:sz w:val="24"/>
          <w:szCs w:val="24"/>
        </w:rPr>
      </w:pPr>
      <w:r w:rsidRPr="00B644BF">
        <w:rPr>
          <w:rFonts w:ascii="Times New Roman" w:hAnsi="Times New Roman" w:cs="Times New Roman"/>
          <w:sz w:val="24"/>
          <w:szCs w:val="24"/>
        </w:rPr>
        <w:t xml:space="preserve">1. Кодекс Республики Беларусь о браке и семье : 9 июля </w:t>
      </w:r>
      <w:smartTag w:uri="urn:schemas-microsoft-com:office:smarttags" w:element="metricconverter">
        <w:smartTagPr>
          <w:attr w:name="ProductID" w:val="1999 г"/>
        </w:smartTagPr>
        <w:r w:rsidRPr="00B644BF">
          <w:rPr>
            <w:rFonts w:ascii="Times New Roman" w:hAnsi="Times New Roman" w:cs="Times New Roman"/>
            <w:sz w:val="24"/>
            <w:szCs w:val="24"/>
          </w:rPr>
          <w:t>1999 г</w:t>
        </w:r>
      </w:smartTag>
      <w:r w:rsidRPr="00B644BF">
        <w:rPr>
          <w:rFonts w:ascii="Times New Roman" w:hAnsi="Times New Roman" w:cs="Times New Roman"/>
          <w:sz w:val="24"/>
          <w:szCs w:val="24"/>
        </w:rPr>
        <w:t>., № 278-З : принят Палатой представителей 3 июня 1999г. : одобр. Советом Респ. 24 июня 1999г. : в ред. Закона Респ. Беларусь от 09.12.2025 г. // ЭТАЛОН : информ.-поисковая система (дата обращения: 02.04.2026).</w:t>
      </w:r>
    </w:p>
    <w:p w:rsidR="00507CF9" w:rsidRPr="00B644BF" w:rsidRDefault="00507CF9" w:rsidP="004611AA">
      <w:pPr>
        <w:autoSpaceDE w:val="0"/>
        <w:autoSpaceDN w:val="0"/>
        <w:adjustRightInd w:val="0"/>
        <w:spacing w:after="0" w:line="240" w:lineRule="auto"/>
        <w:ind w:firstLine="709"/>
        <w:jc w:val="both"/>
        <w:rPr>
          <w:rFonts w:ascii="Times New Roman" w:hAnsi="Times New Roman" w:cs="Times New Roman"/>
          <w:sz w:val="24"/>
          <w:szCs w:val="24"/>
        </w:rPr>
      </w:pPr>
      <w:r w:rsidRPr="00B644BF">
        <w:rPr>
          <w:rFonts w:ascii="Times New Roman" w:hAnsi="Times New Roman" w:cs="Times New Roman"/>
          <w:sz w:val="24"/>
          <w:szCs w:val="24"/>
        </w:rPr>
        <w:t xml:space="preserve">2. О практике рассмотрения судами споров, связанных с воспитанием детей : постановление Пленума Верхов. Суда Респ. Беларусь, 30 сен. </w:t>
      </w:r>
      <w:smartTag w:uri="urn:schemas-microsoft-com:office:smarttags" w:element="metricconverter">
        <w:smartTagPr>
          <w:attr w:name="ProductID" w:val="2004 г"/>
        </w:smartTagPr>
        <w:r w:rsidRPr="00B644BF">
          <w:rPr>
            <w:rFonts w:ascii="Times New Roman" w:hAnsi="Times New Roman" w:cs="Times New Roman"/>
            <w:sz w:val="24"/>
            <w:szCs w:val="24"/>
          </w:rPr>
          <w:t>2004 г</w:t>
        </w:r>
      </w:smartTag>
      <w:r w:rsidRPr="00B644BF">
        <w:rPr>
          <w:rFonts w:ascii="Times New Roman" w:hAnsi="Times New Roman" w:cs="Times New Roman"/>
          <w:sz w:val="24"/>
          <w:szCs w:val="24"/>
        </w:rPr>
        <w:t xml:space="preserve">., № 11 : в ред. </w:t>
      </w:r>
      <w:r w:rsidRPr="00B644BF">
        <w:rPr>
          <w:rFonts w:ascii="Times New Roman" w:hAnsi="Times New Roman" w:cs="Times New Roman"/>
          <w:sz w:val="24"/>
          <w:szCs w:val="24"/>
        </w:rPr>
        <w:lastRenderedPageBreak/>
        <w:t>постановления Пленума Верхов. Суда Респ. Беларусь от 26.06.2025 г. // ЭТАЛОН : информ.-поисковая система (дата обращения: 02.04.2026).</w:t>
      </w:r>
    </w:p>
    <w:p w:rsidR="00507CF9" w:rsidRPr="00B644BF" w:rsidRDefault="00507CF9" w:rsidP="004611AA">
      <w:pPr>
        <w:spacing w:after="0" w:line="240" w:lineRule="auto"/>
        <w:ind w:firstLine="709"/>
        <w:jc w:val="both"/>
        <w:rPr>
          <w:rFonts w:ascii="Times New Roman" w:hAnsi="Times New Roman" w:cs="Times New Roman"/>
          <w:sz w:val="24"/>
          <w:szCs w:val="24"/>
        </w:rPr>
      </w:pPr>
      <w:r w:rsidRPr="00B644BF">
        <w:rPr>
          <w:rFonts w:ascii="Times New Roman" w:hAnsi="Times New Roman" w:cs="Times New Roman"/>
          <w:sz w:val="24"/>
          <w:szCs w:val="24"/>
        </w:rPr>
        <w:t xml:space="preserve">3. Семейный Кодекс Российской Федерации : 29 дек. </w:t>
      </w:r>
      <w:smartTag w:uri="urn:schemas-microsoft-com:office:smarttags" w:element="metricconverter">
        <w:smartTagPr>
          <w:attr w:name="ProductID" w:val="1995 г"/>
        </w:smartTagPr>
        <w:r w:rsidRPr="00B644BF">
          <w:rPr>
            <w:rFonts w:ascii="Times New Roman" w:hAnsi="Times New Roman" w:cs="Times New Roman"/>
            <w:sz w:val="24"/>
            <w:szCs w:val="24"/>
          </w:rPr>
          <w:t>1995 г</w:t>
        </w:r>
      </w:smartTag>
      <w:r w:rsidRPr="00B644BF">
        <w:rPr>
          <w:rFonts w:ascii="Times New Roman" w:hAnsi="Times New Roman" w:cs="Times New Roman"/>
          <w:sz w:val="24"/>
          <w:szCs w:val="24"/>
        </w:rPr>
        <w:t xml:space="preserve">. № </w:t>
      </w:r>
      <w:r w:rsidRPr="00B644BF">
        <w:rPr>
          <w:rFonts w:ascii="Times New Roman" w:hAnsi="Times New Roman" w:cs="Times New Roman"/>
          <w:iCs/>
          <w:sz w:val="24"/>
          <w:szCs w:val="24"/>
        </w:rPr>
        <w:t xml:space="preserve">223-ФЗ </w:t>
      </w:r>
      <w:r w:rsidRPr="00B644BF">
        <w:rPr>
          <w:rFonts w:ascii="Times New Roman" w:hAnsi="Times New Roman" w:cs="Times New Roman"/>
          <w:sz w:val="24"/>
          <w:szCs w:val="24"/>
        </w:rPr>
        <w:t>: принят Гос. Думой 8 дек. 1995 г.. : в ред. Федер. закона от 23 ноября 2024 г. № 405-ФЗ // КонсультантПлюс. Россия : справ. правовая система (дата обращения: 01.04.2026)</w:t>
      </w:r>
      <w:r w:rsidR="004611AA">
        <w:rPr>
          <w:rFonts w:ascii="Times New Roman" w:hAnsi="Times New Roman" w:cs="Times New Roman"/>
          <w:sz w:val="24"/>
          <w:szCs w:val="24"/>
        </w:rPr>
        <w:t>.</w:t>
      </w:r>
    </w:p>
    <w:p w:rsidR="004611AA" w:rsidRPr="00B644BF" w:rsidRDefault="004611AA">
      <w:pPr>
        <w:rPr>
          <w:rFonts w:ascii="Times New Roman" w:hAnsi="Times New Roman" w:cs="Times New Roman"/>
        </w:rPr>
      </w:pPr>
    </w:p>
    <w:p w:rsidR="00507CF9" w:rsidRPr="00B644BF" w:rsidRDefault="00507CF9" w:rsidP="004611AA">
      <w:pPr>
        <w:pStyle w:val="af3"/>
        <w:suppressAutoHyphens/>
        <w:spacing w:before="0" w:line="240" w:lineRule="auto"/>
        <w:ind w:firstLine="709"/>
        <w:jc w:val="center"/>
        <w:rPr>
          <w:rFonts w:ascii="Times New Roman" w:eastAsia="Helvetica" w:hAnsi="Times New Roman" w:cs="Times New Roman"/>
          <w:color w:val="auto"/>
          <w:sz w:val="28"/>
          <w:szCs w:val="28"/>
        </w:rPr>
      </w:pPr>
      <w:r w:rsidRPr="00B644BF">
        <w:rPr>
          <w:rFonts w:ascii="Times New Roman" w:hAnsi="Times New Roman" w:cs="Times New Roman"/>
          <w:b/>
          <w:bCs/>
          <w:color w:val="auto"/>
          <w:sz w:val="28"/>
          <w:szCs w:val="28"/>
        </w:rPr>
        <w:t>ПРОЦЕДУРА ЗАКЛЮЧЕНИЯ И ИЗМЕНЕНИЯ КОЛЛЕКТИВНОГО ДОГОВОРА</w:t>
      </w:r>
    </w:p>
    <w:p w:rsidR="00507CF9" w:rsidRPr="00B644BF" w:rsidRDefault="00507CF9" w:rsidP="004611AA">
      <w:pPr>
        <w:pStyle w:val="af3"/>
        <w:suppressAutoHyphens/>
        <w:spacing w:before="0" w:line="240" w:lineRule="auto"/>
        <w:ind w:firstLine="709"/>
        <w:rPr>
          <w:rFonts w:ascii="Times New Roman" w:eastAsia="Helvetica" w:hAnsi="Times New Roman" w:cs="Times New Roman"/>
          <w:color w:val="auto"/>
          <w:sz w:val="28"/>
          <w:szCs w:val="28"/>
        </w:rPr>
      </w:pPr>
    </w:p>
    <w:p w:rsidR="00507CF9" w:rsidRPr="00B644BF" w:rsidRDefault="00507CF9" w:rsidP="004611AA">
      <w:pPr>
        <w:pStyle w:val="af3"/>
        <w:suppressAutoHyphens/>
        <w:spacing w:before="0" w:line="240" w:lineRule="auto"/>
        <w:ind w:firstLine="709"/>
        <w:jc w:val="center"/>
        <w:rPr>
          <w:rFonts w:ascii="Times New Roman" w:eastAsia="Helvetica" w:hAnsi="Times New Roman" w:cs="Times New Roman"/>
          <w:b/>
          <w:bCs/>
          <w:color w:val="auto"/>
          <w:sz w:val="28"/>
          <w:szCs w:val="28"/>
        </w:rPr>
      </w:pPr>
      <w:r w:rsidRPr="00B644BF">
        <w:rPr>
          <w:rFonts w:ascii="Times New Roman" w:eastAsia="Helvetica" w:hAnsi="Times New Roman" w:cs="Times New Roman"/>
          <w:b/>
          <w:bCs/>
          <w:color w:val="auto"/>
          <w:sz w:val="28"/>
          <w:szCs w:val="28"/>
        </w:rPr>
        <w:t>Тупицына Анастасия Андреевна</w:t>
      </w:r>
    </w:p>
    <w:p w:rsidR="00507CF9" w:rsidRPr="00B644BF" w:rsidRDefault="00507CF9" w:rsidP="004611AA">
      <w:pPr>
        <w:pStyle w:val="af3"/>
        <w:suppressAutoHyphens/>
        <w:spacing w:before="0" w:line="240" w:lineRule="auto"/>
        <w:ind w:firstLine="709"/>
        <w:jc w:val="center"/>
        <w:rPr>
          <w:rFonts w:ascii="Times New Roman" w:eastAsia="Calibri" w:hAnsi="Times New Roman" w:cs="Times New Roman"/>
          <w:color w:val="auto"/>
          <w:sz w:val="28"/>
          <w:szCs w:val="28"/>
          <w:bdr w:val="none" w:sz="0" w:space="0" w:color="auto"/>
        </w:rPr>
      </w:pPr>
      <w:r w:rsidRPr="00B644BF">
        <w:rPr>
          <w:rFonts w:ascii="Times New Roman" w:eastAsia="Calibri" w:hAnsi="Times New Roman" w:cs="Times New Roman"/>
          <w:color w:val="auto"/>
          <w:sz w:val="28"/>
          <w:szCs w:val="28"/>
          <w:bdr w:val="none" w:sz="0" w:space="0" w:color="auto"/>
        </w:rPr>
        <w:t>студентка факультета экономики и права</w:t>
      </w:r>
    </w:p>
    <w:p w:rsidR="00507CF9" w:rsidRPr="00B644BF" w:rsidRDefault="00507CF9" w:rsidP="004611AA">
      <w:pPr>
        <w:pStyle w:val="af3"/>
        <w:suppressAutoHyphens/>
        <w:spacing w:before="0" w:line="240" w:lineRule="auto"/>
        <w:ind w:firstLine="709"/>
        <w:jc w:val="center"/>
        <w:rPr>
          <w:rFonts w:ascii="Times New Roman" w:eastAsia="Calibri" w:hAnsi="Times New Roman" w:cs="Times New Roman"/>
          <w:color w:val="auto"/>
          <w:sz w:val="28"/>
          <w:szCs w:val="28"/>
          <w:bdr w:val="none" w:sz="0" w:space="0" w:color="auto"/>
        </w:rPr>
      </w:pPr>
      <w:r w:rsidRPr="00B644BF">
        <w:rPr>
          <w:rFonts w:ascii="Times New Roman" w:eastAsia="Calibri" w:hAnsi="Times New Roman" w:cs="Times New Roman"/>
          <w:color w:val="auto"/>
          <w:sz w:val="28"/>
          <w:szCs w:val="28"/>
          <w:bdr w:val="none" w:sz="0" w:space="0" w:color="auto"/>
        </w:rPr>
        <w:t>учреждения образования «Могилевский государственный университет имени А.А. Кулешова»</w:t>
      </w:r>
    </w:p>
    <w:p w:rsidR="00507CF9" w:rsidRPr="00B644BF" w:rsidRDefault="00507CF9" w:rsidP="004611AA">
      <w:pPr>
        <w:pStyle w:val="af3"/>
        <w:suppressAutoHyphens/>
        <w:spacing w:before="0" w:line="240" w:lineRule="auto"/>
        <w:ind w:firstLine="709"/>
        <w:jc w:val="center"/>
        <w:rPr>
          <w:rFonts w:ascii="Times New Roman" w:eastAsia="Helvetica" w:hAnsi="Times New Roman" w:cs="Times New Roman"/>
          <w:b/>
          <w:bCs/>
          <w:color w:val="auto"/>
          <w:sz w:val="28"/>
          <w:szCs w:val="28"/>
        </w:rPr>
      </w:pPr>
      <w:r w:rsidRPr="00B644BF">
        <w:rPr>
          <w:rFonts w:ascii="Times New Roman" w:eastAsia="Calibri" w:hAnsi="Times New Roman" w:cs="Times New Roman"/>
          <w:color w:val="auto"/>
          <w:sz w:val="28"/>
          <w:szCs w:val="28"/>
          <w:bdr w:val="none" w:sz="0" w:space="0" w:color="auto"/>
        </w:rPr>
        <w:t xml:space="preserve"> (г. Могилев, Беларусь)</w:t>
      </w:r>
    </w:p>
    <w:p w:rsidR="00507CF9" w:rsidRPr="00B644BF" w:rsidRDefault="00507CF9" w:rsidP="004611AA">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lang w:val="en-GB"/>
        </w:rPr>
        <w:t>anastasiatupicyna</w:t>
      </w:r>
      <w:r w:rsidRPr="00B644BF">
        <w:rPr>
          <w:rFonts w:ascii="Times New Roman" w:hAnsi="Times New Roman" w:cs="Times New Roman"/>
          <w:sz w:val="28"/>
          <w:szCs w:val="28"/>
        </w:rPr>
        <w:t>3@</w:t>
      </w:r>
      <w:r w:rsidRPr="00B644BF">
        <w:rPr>
          <w:rFonts w:ascii="Times New Roman" w:hAnsi="Times New Roman" w:cs="Times New Roman"/>
          <w:sz w:val="28"/>
          <w:szCs w:val="28"/>
          <w:lang w:val="en-GB"/>
        </w:rPr>
        <w:t>gmail</w:t>
      </w:r>
      <w:r w:rsidRPr="00B644BF">
        <w:rPr>
          <w:rFonts w:ascii="Times New Roman" w:hAnsi="Times New Roman" w:cs="Times New Roman"/>
          <w:sz w:val="28"/>
          <w:szCs w:val="28"/>
        </w:rPr>
        <w:t>.</w:t>
      </w:r>
      <w:r w:rsidRPr="00B644BF">
        <w:rPr>
          <w:rFonts w:ascii="Times New Roman" w:hAnsi="Times New Roman" w:cs="Times New Roman"/>
          <w:sz w:val="28"/>
          <w:szCs w:val="28"/>
          <w:lang w:val="en-GB"/>
        </w:rPr>
        <w:t>com</w:t>
      </w:r>
    </w:p>
    <w:p w:rsidR="00507CF9" w:rsidRPr="00B644BF" w:rsidRDefault="00507CF9" w:rsidP="004611AA">
      <w:pPr>
        <w:pStyle w:val="af3"/>
        <w:suppressAutoHyphens/>
        <w:spacing w:before="0" w:line="240" w:lineRule="auto"/>
        <w:ind w:firstLine="709"/>
        <w:jc w:val="center"/>
        <w:rPr>
          <w:rFonts w:ascii="Times New Roman" w:eastAsia="Helvetica" w:hAnsi="Times New Roman" w:cs="Times New Roman"/>
          <w:b/>
          <w:bCs/>
          <w:color w:val="auto"/>
          <w:sz w:val="28"/>
          <w:szCs w:val="28"/>
        </w:rPr>
      </w:pPr>
    </w:p>
    <w:p w:rsidR="00507CF9" w:rsidRPr="004611AA" w:rsidRDefault="00507CF9" w:rsidP="004611AA">
      <w:pPr>
        <w:pStyle w:val="ds-markdown-paragraph"/>
        <w:spacing w:before="0" w:beforeAutospacing="0" w:after="0" w:afterAutospacing="0"/>
        <w:ind w:firstLine="709"/>
        <w:jc w:val="both"/>
      </w:pPr>
      <w:r w:rsidRPr="00B644BF">
        <w:rPr>
          <w:rStyle w:val="a6"/>
        </w:rPr>
        <w:t>Аннотация.</w:t>
      </w:r>
      <w:r w:rsidRPr="00B644BF">
        <w:rPr>
          <w:rStyle w:val="apple-converted-space"/>
        </w:rPr>
        <w:t> </w:t>
      </w:r>
      <w:r w:rsidRPr="004611AA">
        <w:t>В работе охарактеризован установленный законодательством Республики Беларусь порядок заключения коллективного договора, включающий коллективные переговоры, создание комиссии, обсуждение проекта, подписание и обязательную регистрацию. Обоснованы требования к письменной форме документа, чёткости формулировок, доступности текста для работников, а также процедура внесения изменений и ответственность за нарушение правил. Сделан вывод о том, что соблюдение данных требований обеспечивает легитимность договора, стабильность трудовых отношений и снижает риск споров между сторонами.</w:t>
      </w:r>
    </w:p>
    <w:p w:rsidR="00507CF9" w:rsidRPr="004611AA" w:rsidRDefault="00507CF9" w:rsidP="004611AA">
      <w:pPr>
        <w:pStyle w:val="ds-markdown-paragraph"/>
        <w:spacing w:before="0" w:beforeAutospacing="0" w:after="0" w:afterAutospacing="0"/>
        <w:ind w:firstLine="709"/>
        <w:jc w:val="both"/>
      </w:pPr>
      <w:r w:rsidRPr="00B644BF">
        <w:rPr>
          <w:rStyle w:val="a6"/>
        </w:rPr>
        <w:t>Ключевые слова.</w:t>
      </w:r>
      <w:r w:rsidRPr="00B644BF">
        <w:rPr>
          <w:rStyle w:val="apple-converted-space"/>
        </w:rPr>
        <w:t> </w:t>
      </w:r>
      <w:r w:rsidRPr="004611AA">
        <w:t>Коллективный договор, коллективные переговоры, письменная форма, профсоюз, регистрация, социальное партнёрство, Трудовой кодекс, юридическая ответственность.</w:t>
      </w:r>
    </w:p>
    <w:p w:rsidR="00507CF9" w:rsidRPr="00B644BF" w:rsidRDefault="00507CF9" w:rsidP="004611AA">
      <w:pPr>
        <w:pStyle w:val="af3"/>
        <w:suppressAutoHyphens/>
        <w:spacing w:before="0" w:line="240" w:lineRule="auto"/>
        <w:ind w:firstLine="709"/>
        <w:jc w:val="center"/>
        <w:rPr>
          <w:rFonts w:ascii="Times New Roman" w:eastAsia="Helvetica" w:hAnsi="Times New Roman" w:cs="Times New Roman"/>
          <w:b/>
          <w:bCs/>
          <w:color w:val="auto"/>
          <w:sz w:val="28"/>
          <w:szCs w:val="28"/>
        </w:rPr>
      </w:pPr>
    </w:p>
    <w:p w:rsidR="00507CF9" w:rsidRPr="00B644BF" w:rsidRDefault="00507CF9" w:rsidP="004611AA">
      <w:pPr>
        <w:pStyle w:val="af3"/>
        <w:suppressAutoHyphens/>
        <w:spacing w:before="0" w:line="240" w:lineRule="auto"/>
        <w:ind w:firstLine="709"/>
        <w:jc w:val="both"/>
        <w:rPr>
          <w:rFonts w:ascii="Times New Roman" w:eastAsia="Helvetica" w:hAnsi="Times New Roman" w:cs="Times New Roman"/>
          <w:color w:val="auto"/>
          <w:sz w:val="28"/>
          <w:szCs w:val="28"/>
        </w:rPr>
      </w:pPr>
      <w:r w:rsidRPr="00B644BF">
        <w:rPr>
          <w:rFonts w:ascii="Times New Roman" w:hAnsi="Times New Roman" w:cs="Times New Roman"/>
          <w:color w:val="auto"/>
          <w:sz w:val="28"/>
          <w:szCs w:val="28"/>
        </w:rPr>
        <w:t>Законодательством Республики Беларусь предусмотрен единый подход к порядку заключения коллективных договоров, не зависящий от отраслевой принадлежности, формы собственности или численности работников. Согласно статье 366 ТК Республики Беларусь, коллективный договор оформляется исключительно в письменной форме. Устные договорённости не признаются юридически значимыми и не порождают правовых последствий. В тексте договора не допускаются исправления, зачёркивания и ошибки, искажающие смысл обязательств. Неточности в формулировках могут привести к разногласиям между нанимателем и работниками. Текст договора рекомендуется составлять убедительно, чётко и лаконично, избегая сложных конструкций, многословия и двусмысленных выражений. Простота и доступность языка необходимы для правильного понимания работниками своих прав и обязательств. Такой подход снижает риск споров и повышает эффективность реализации договорённостей.</w:t>
      </w:r>
    </w:p>
    <w:p w:rsidR="00507CF9" w:rsidRPr="00B644BF" w:rsidRDefault="00507CF9" w:rsidP="004611AA">
      <w:pPr>
        <w:pStyle w:val="af3"/>
        <w:suppressAutoHyphens/>
        <w:spacing w:before="0" w:line="240" w:lineRule="auto"/>
        <w:ind w:firstLine="709"/>
        <w:jc w:val="both"/>
        <w:rPr>
          <w:rFonts w:ascii="Times New Roman" w:eastAsia="Helvetica" w:hAnsi="Times New Roman" w:cs="Times New Roman"/>
          <w:color w:val="auto"/>
          <w:sz w:val="28"/>
          <w:szCs w:val="28"/>
        </w:rPr>
      </w:pPr>
      <w:r w:rsidRPr="00B644BF">
        <w:rPr>
          <w:rFonts w:ascii="Times New Roman" w:hAnsi="Times New Roman" w:cs="Times New Roman"/>
          <w:color w:val="auto"/>
          <w:sz w:val="28"/>
          <w:szCs w:val="28"/>
        </w:rPr>
        <w:t xml:space="preserve">Процедуре заключения коллективного договора обязательно предшествует этап коллективных переговоров, который выступает </w:t>
      </w:r>
      <w:r w:rsidRPr="00B644BF">
        <w:rPr>
          <w:rFonts w:ascii="Times New Roman" w:hAnsi="Times New Roman" w:cs="Times New Roman"/>
          <w:color w:val="auto"/>
          <w:sz w:val="28"/>
          <w:szCs w:val="28"/>
        </w:rPr>
        <w:lastRenderedPageBreak/>
        <w:t xml:space="preserve">важнейшей стадией согласования интересов сторон социального партнёрства. Право выступить с инициативой проведения коллективных переговоров принадлежит любой из сторон – как нанимателю, так и работникам в лице их представителей. Однако на практике наиболее активную позицию в этом вопросе занимают профессиональные союзы, которые чаще всего направляют другой стороне соответствующее требование </w:t>
      </w:r>
      <w:r w:rsidRPr="00B644BF">
        <w:rPr>
          <w:rFonts w:ascii="Times New Roman" w:hAnsi="Times New Roman" w:cs="Times New Roman"/>
          <w:color w:val="auto"/>
          <w:sz w:val="28"/>
          <w:szCs w:val="28"/>
          <w:lang w:val="pt-PT"/>
        </w:rPr>
        <w:t>[</w:t>
      </w:r>
      <w:r w:rsidRPr="00B644BF">
        <w:rPr>
          <w:rFonts w:ascii="Times New Roman" w:hAnsi="Times New Roman" w:cs="Times New Roman"/>
          <w:color w:val="auto"/>
          <w:sz w:val="28"/>
          <w:szCs w:val="28"/>
        </w:rPr>
        <w:t>1, с</w:t>
      </w:r>
      <w:r w:rsidRPr="00B644BF">
        <w:rPr>
          <w:rFonts w:ascii="Times New Roman" w:hAnsi="Times New Roman" w:cs="Times New Roman"/>
          <w:color w:val="auto"/>
          <w:sz w:val="28"/>
          <w:szCs w:val="28"/>
          <w:lang w:val="pt-PT"/>
        </w:rPr>
        <w:t>. 88].</w:t>
      </w:r>
    </w:p>
    <w:p w:rsidR="00507CF9" w:rsidRPr="00B644BF" w:rsidRDefault="00507CF9" w:rsidP="004611AA">
      <w:pPr>
        <w:pStyle w:val="af3"/>
        <w:suppressAutoHyphens/>
        <w:spacing w:before="0" w:line="240" w:lineRule="auto"/>
        <w:ind w:firstLine="709"/>
        <w:jc w:val="both"/>
        <w:rPr>
          <w:rFonts w:ascii="Times New Roman" w:eastAsia="Helvetica" w:hAnsi="Times New Roman" w:cs="Times New Roman"/>
          <w:color w:val="auto"/>
          <w:sz w:val="28"/>
          <w:szCs w:val="28"/>
        </w:rPr>
      </w:pPr>
      <w:r w:rsidRPr="00B644BF">
        <w:rPr>
          <w:rFonts w:ascii="Times New Roman" w:hAnsi="Times New Roman" w:cs="Times New Roman"/>
          <w:color w:val="auto"/>
          <w:sz w:val="28"/>
          <w:szCs w:val="28"/>
        </w:rPr>
        <w:t>В таком требовании, как правило, указывается предполагаемая дата начала переговоров, место их проведения, персональный состав участников от стороны-инициатора, а также объём их полномочий. Законодательство устанавливает обязанность стороны, получившей требование, приступить к переговорам в течение семидневного срока. При этом по взаимному согласию сторон переговоры могут быть начаты и в иной, отличный от указанного, срок. Важно подчеркнуть, что неисполнение обязанности своевременно начать переговоры фактически расценивается как односторонний отказ от их ведения. Прямой запрет на такой отказ закреплён в части 4 статьи 357 ТК Республики Беларусь, что подчёркивает обязательный характер переговорного процесса.</w:t>
      </w:r>
    </w:p>
    <w:p w:rsidR="00507CF9" w:rsidRPr="00B644BF" w:rsidRDefault="00507CF9" w:rsidP="004611AA">
      <w:pPr>
        <w:pStyle w:val="af3"/>
        <w:suppressAutoHyphens/>
        <w:spacing w:before="0" w:line="240" w:lineRule="auto"/>
        <w:ind w:firstLine="709"/>
        <w:jc w:val="both"/>
        <w:rPr>
          <w:rFonts w:ascii="Times New Roman" w:eastAsia="Helvetica" w:hAnsi="Times New Roman" w:cs="Times New Roman"/>
          <w:color w:val="auto"/>
          <w:sz w:val="28"/>
          <w:szCs w:val="28"/>
        </w:rPr>
      </w:pPr>
      <w:r w:rsidRPr="00B644BF">
        <w:rPr>
          <w:rFonts w:ascii="Times New Roman" w:hAnsi="Times New Roman" w:cs="Times New Roman"/>
          <w:color w:val="auto"/>
          <w:sz w:val="28"/>
          <w:szCs w:val="28"/>
        </w:rPr>
        <w:t>За нарушение установленного порядка предусмотрена юридическая ответственность. Согласно статье 10.12 Кодекса об административных правонарушениях Республики Беларусь от 6 янв. 2021 г. № 91-З, непредоставление уполномоченным лицом нанимателя информации, необходимой для ведения коллективных переговоров, влечёт штраф в размере от четырёх до десяти базовых величин. Данная мера обеспечивает реальную возможность для работников и их представителей получать сведения, необходимые для полноценного участия в переговорах.</w:t>
      </w:r>
    </w:p>
    <w:p w:rsidR="00507CF9" w:rsidRPr="00B644BF" w:rsidRDefault="00507CF9" w:rsidP="004611AA">
      <w:pPr>
        <w:pStyle w:val="af3"/>
        <w:suppressAutoHyphens/>
        <w:spacing w:before="0" w:line="240" w:lineRule="auto"/>
        <w:ind w:firstLine="709"/>
        <w:jc w:val="both"/>
        <w:rPr>
          <w:rFonts w:ascii="Times New Roman" w:eastAsia="Helvetica" w:hAnsi="Times New Roman" w:cs="Times New Roman"/>
          <w:color w:val="auto"/>
          <w:sz w:val="28"/>
          <w:szCs w:val="28"/>
        </w:rPr>
      </w:pPr>
      <w:r w:rsidRPr="00B644BF">
        <w:rPr>
          <w:rFonts w:ascii="Times New Roman" w:hAnsi="Times New Roman" w:cs="Times New Roman"/>
          <w:color w:val="auto"/>
          <w:sz w:val="28"/>
          <w:szCs w:val="28"/>
        </w:rPr>
        <w:t>Для ведения коллективных переговоров стороны на равноправной основе формируют комиссию из уполномоченных представителей. Профсоюзный комитет наделяет полномочиями представителей работников. Наниматель определяет кандидатуры по своему усмотрению, как правило, из числа руководителей структурных подразделений, юрисконсультов, специалистов отдела труда и зарплаты. Чтобы избежать равенства голосов при принятии решений, число представителей от каждой стороны должно быть нечётным (на практике – не менее трёх человек). Согласно части 2 статьи 357 ТК Республики Беларусь, все представители обязаны иметь документы, подтверждающие их полномочия, что обеспечивает легитимность переговорного процесса.</w:t>
      </w:r>
    </w:p>
    <w:p w:rsidR="00507CF9" w:rsidRPr="00B644BF" w:rsidRDefault="00507CF9" w:rsidP="004611AA">
      <w:pPr>
        <w:pStyle w:val="af3"/>
        <w:suppressAutoHyphens/>
        <w:spacing w:before="0" w:line="240" w:lineRule="auto"/>
        <w:ind w:firstLine="709"/>
        <w:jc w:val="both"/>
        <w:rPr>
          <w:rFonts w:ascii="Times New Roman" w:eastAsia="Helvetica" w:hAnsi="Times New Roman" w:cs="Times New Roman"/>
          <w:color w:val="auto"/>
          <w:sz w:val="28"/>
          <w:szCs w:val="28"/>
        </w:rPr>
      </w:pPr>
      <w:r w:rsidRPr="00B644BF">
        <w:rPr>
          <w:rFonts w:ascii="Times New Roman" w:hAnsi="Times New Roman" w:cs="Times New Roman"/>
          <w:color w:val="auto"/>
          <w:sz w:val="28"/>
          <w:szCs w:val="28"/>
        </w:rPr>
        <w:t>Составленный проект коллективного договора обсуждается сторонами после ознакомления всех работников организации. Для этого используются публикации, внутренние трансляции, информационные стенды и иные доступные способы.</w:t>
      </w:r>
    </w:p>
    <w:p w:rsidR="00507CF9" w:rsidRPr="00B644BF" w:rsidRDefault="00507CF9" w:rsidP="004611AA">
      <w:pPr>
        <w:pStyle w:val="af3"/>
        <w:suppressAutoHyphens/>
        <w:spacing w:before="0" w:line="240" w:lineRule="auto"/>
        <w:ind w:firstLine="709"/>
        <w:jc w:val="both"/>
        <w:rPr>
          <w:rFonts w:ascii="Times New Roman" w:eastAsia="Helvetica" w:hAnsi="Times New Roman" w:cs="Times New Roman"/>
          <w:color w:val="auto"/>
          <w:sz w:val="28"/>
          <w:szCs w:val="28"/>
        </w:rPr>
      </w:pPr>
      <w:r w:rsidRPr="00B644BF">
        <w:rPr>
          <w:rFonts w:ascii="Times New Roman" w:hAnsi="Times New Roman" w:cs="Times New Roman"/>
          <w:color w:val="auto"/>
          <w:sz w:val="28"/>
          <w:szCs w:val="28"/>
        </w:rPr>
        <w:t xml:space="preserve">После всестороннего обсуждения проекта коллективного договора комиссия дорабатывает его с учётом поступивших замечаний, </w:t>
      </w:r>
      <w:r w:rsidRPr="00B644BF">
        <w:rPr>
          <w:rFonts w:ascii="Times New Roman" w:hAnsi="Times New Roman" w:cs="Times New Roman"/>
          <w:color w:val="auto"/>
          <w:sz w:val="28"/>
          <w:szCs w:val="28"/>
        </w:rPr>
        <w:lastRenderedPageBreak/>
        <w:t>предложений и дополнений. Достижение сторонами взаимного согласия по содержанию доработанного проекта свидетельствует об окончании коллективных переговоров. Как правило, доработанный проект выносится на утверждение общего собрания (или конференции) работников, после чего подписывается представителями сторон. Со стороны нанимателя договор обычно подписывает руководитель организации, а со стороны работников – председатель профсоюзного органа. При этом представители сторон обязаны подписать каждую страницу коллективного договора, что обеспечивает его подлинность и исключает возможность внесения несогласованных изменений.</w:t>
      </w:r>
    </w:p>
    <w:p w:rsidR="00507CF9" w:rsidRPr="00B644BF" w:rsidRDefault="00507CF9" w:rsidP="004611AA">
      <w:pPr>
        <w:pStyle w:val="af3"/>
        <w:suppressAutoHyphens/>
        <w:spacing w:before="0" w:line="240" w:lineRule="auto"/>
        <w:ind w:firstLine="709"/>
        <w:jc w:val="both"/>
        <w:rPr>
          <w:rFonts w:ascii="Times New Roman" w:eastAsia="Helvetica" w:hAnsi="Times New Roman" w:cs="Times New Roman"/>
          <w:color w:val="auto"/>
          <w:sz w:val="28"/>
          <w:szCs w:val="28"/>
        </w:rPr>
      </w:pPr>
      <w:r w:rsidRPr="00B644BF">
        <w:rPr>
          <w:rFonts w:ascii="Times New Roman" w:hAnsi="Times New Roman" w:cs="Times New Roman"/>
          <w:color w:val="auto"/>
          <w:sz w:val="28"/>
          <w:szCs w:val="28"/>
        </w:rPr>
        <w:t>В соответствии со ст. 370 ТК Республики Беларусь подписанный коллективный договор должен быть зарегистрирован в местном исполнительном или распорядительном органе по месту нахождения (регистрации) нанимателя, в противном случае он не будет иметь юридической силы.</w:t>
      </w:r>
    </w:p>
    <w:p w:rsidR="00507CF9" w:rsidRPr="00B644BF" w:rsidRDefault="00507CF9" w:rsidP="004611AA">
      <w:pPr>
        <w:pStyle w:val="af3"/>
        <w:suppressAutoHyphens/>
        <w:spacing w:before="0" w:line="240" w:lineRule="auto"/>
        <w:ind w:firstLine="709"/>
        <w:jc w:val="both"/>
        <w:rPr>
          <w:rFonts w:ascii="Times New Roman" w:eastAsia="Helvetica" w:hAnsi="Times New Roman" w:cs="Times New Roman"/>
          <w:color w:val="auto"/>
          <w:sz w:val="28"/>
          <w:szCs w:val="28"/>
        </w:rPr>
      </w:pPr>
      <w:r w:rsidRPr="00B644BF">
        <w:rPr>
          <w:rFonts w:ascii="Times New Roman" w:hAnsi="Times New Roman" w:cs="Times New Roman"/>
          <w:color w:val="auto"/>
          <w:sz w:val="28"/>
          <w:szCs w:val="28"/>
        </w:rPr>
        <w:t>Для регистрации коллективного договора стороны подают в соответствующий орган заявление, подписанный договор и копии документов, подтверждающих полномочия представителей. Регистрирующий орган в двухнедельный срок вносит запись в журнал и ставит штамп на договоре. Один экземпляр документа хранится в органе регистрации в течение пяти лет.</w:t>
      </w:r>
    </w:p>
    <w:p w:rsidR="00507CF9" w:rsidRPr="00B644BF" w:rsidRDefault="00507CF9" w:rsidP="004611AA">
      <w:pPr>
        <w:pStyle w:val="af3"/>
        <w:suppressAutoHyphens/>
        <w:spacing w:before="0" w:line="240" w:lineRule="auto"/>
        <w:ind w:firstLine="709"/>
        <w:jc w:val="both"/>
        <w:rPr>
          <w:rFonts w:ascii="Times New Roman" w:eastAsia="Helvetica" w:hAnsi="Times New Roman" w:cs="Times New Roman"/>
          <w:color w:val="auto"/>
          <w:sz w:val="28"/>
          <w:szCs w:val="28"/>
        </w:rPr>
      </w:pPr>
      <w:r w:rsidRPr="00B644BF">
        <w:rPr>
          <w:rFonts w:ascii="Times New Roman" w:hAnsi="Times New Roman" w:cs="Times New Roman"/>
          <w:color w:val="auto"/>
          <w:sz w:val="28"/>
          <w:szCs w:val="28"/>
        </w:rPr>
        <w:t>Согласно статье 367 Трудового кодекса Республики Беларусь, срок действия коллективного договора определяется сторонами, но не может быть менее одного года и более трёх лет. По взаимному согласию сторон действие договора может быть продлено, однако не более чем на три года и не более одного раза. Такое продление оформляется дополнительным соглашением, которое становится неотъемлемой частью договора.</w:t>
      </w:r>
    </w:p>
    <w:p w:rsidR="00507CF9" w:rsidRPr="00B644BF" w:rsidRDefault="00507CF9" w:rsidP="004611AA">
      <w:pPr>
        <w:pStyle w:val="af3"/>
        <w:suppressAutoHyphens/>
        <w:spacing w:before="0" w:line="240" w:lineRule="auto"/>
        <w:ind w:firstLine="709"/>
        <w:jc w:val="both"/>
        <w:rPr>
          <w:rFonts w:ascii="Times New Roman" w:eastAsia="Helvetica" w:hAnsi="Times New Roman" w:cs="Times New Roman"/>
          <w:color w:val="auto"/>
          <w:sz w:val="28"/>
          <w:szCs w:val="28"/>
        </w:rPr>
      </w:pPr>
      <w:r w:rsidRPr="00B644BF">
        <w:rPr>
          <w:rFonts w:ascii="Times New Roman" w:hAnsi="Times New Roman" w:cs="Times New Roman"/>
          <w:color w:val="auto"/>
          <w:sz w:val="28"/>
          <w:szCs w:val="28"/>
        </w:rPr>
        <w:t>Коллективный договор вступает в силу либо с момента его подписания сторонами, либо с иной даты, которую стороны определят самостоятельно. Даже после истечения установленного срока договор продолжает действовать до момента заключения нового, но этот переходный период не может превышать шести месяцев после окончания первоначального срока, если только стороны не предусмотрели иное.</w:t>
      </w:r>
    </w:p>
    <w:p w:rsidR="00507CF9" w:rsidRPr="00B644BF" w:rsidRDefault="00507CF9" w:rsidP="004611AA">
      <w:pPr>
        <w:pStyle w:val="af3"/>
        <w:suppressAutoHyphens/>
        <w:spacing w:before="0" w:line="240" w:lineRule="auto"/>
        <w:ind w:firstLine="709"/>
        <w:jc w:val="both"/>
        <w:rPr>
          <w:rFonts w:ascii="Times New Roman" w:eastAsia="Helvetica" w:hAnsi="Times New Roman" w:cs="Times New Roman"/>
          <w:color w:val="auto"/>
          <w:sz w:val="28"/>
          <w:szCs w:val="28"/>
        </w:rPr>
      </w:pPr>
      <w:r w:rsidRPr="00B644BF">
        <w:rPr>
          <w:rFonts w:ascii="Times New Roman" w:hAnsi="Times New Roman" w:cs="Times New Roman"/>
          <w:color w:val="auto"/>
          <w:sz w:val="28"/>
          <w:szCs w:val="28"/>
        </w:rPr>
        <w:t>Необходимо отметить, что при реорганизации организации коллективный договор сохраняет свою юридическую силу в течение всего срока, на который он был заключён, если только стороны не примут иного решения. В случае ликвидации организации коллективный договор продолжает действовать на протяжении всего периода ликвидации.</w:t>
      </w:r>
    </w:p>
    <w:p w:rsidR="00507CF9" w:rsidRPr="00B644BF" w:rsidRDefault="00507CF9" w:rsidP="004611AA">
      <w:pPr>
        <w:pStyle w:val="af3"/>
        <w:suppressAutoHyphens/>
        <w:spacing w:before="0" w:line="240" w:lineRule="auto"/>
        <w:ind w:firstLine="709"/>
        <w:jc w:val="both"/>
        <w:rPr>
          <w:rFonts w:ascii="Times New Roman" w:eastAsia="Helvetica" w:hAnsi="Times New Roman" w:cs="Times New Roman"/>
          <w:color w:val="auto"/>
          <w:sz w:val="28"/>
          <w:szCs w:val="28"/>
        </w:rPr>
      </w:pPr>
      <w:r w:rsidRPr="00B644BF">
        <w:rPr>
          <w:rFonts w:ascii="Times New Roman" w:hAnsi="Times New Roman" w:cs="Times New Roman"/>
          <w:color w:val="auto"/>
          <w:sz w:val="28"/>
          <w:szCs w:val="28"/>
        </w:rPr>
        <w:t xml:space="preserve">Если в период действия коллективного договора или соглашения возникает объективная необходимость внести в них какие-либо изменения или дополнения, такое решение может быть принято исключительно на основе взаимного согласия сторон. Одностороннее внесение изменений не допускается. При этом применяется тот же порядок, который установлен </w:t>
      </w:r>
      <w:r w:rsidRPr="00B644BF">
        <w:rPr>
          <w:rFonts w:ascii="Times New Roman" w:hAnsi="Times New Roman" w:cs="Times New Roman"/>
          <w:color w:val="auto"/>
          <w:sz w:val="28"/>
          <w:szCs w:val="28"/>
        </w:rPr>
        <w:lastRenderedPageBreak/>
        <w:t>законодательством для заключения коллективного договора. Это означает, что изменения и дополнения оформляются только в письменной форме; проект соответствующих изменений подлежит обязательному обсуждению сторонами в порядке, который они определяют самостоятельно; каждая страница документа должна быть подписана уполномоченными представителями обеих сторон.</w:t>
      </w:r>
    </w:p>
    <w:p w:rsidR="00507CF9" w:rsidRPr="00B644BF" w:rsidRDefault="00507CF9" w:rsidP="004611AA">
      <w:pPr>
        <w:pStyle w:val="af3"/>
        <w:suppressAutoHyphens/>
        <w:spacing w:before="0" w:line="240" w:lineRule="auto"/>
        <w:ind w:firstLine="709"/>
        <w:jc w:val="both"/>
        <w:rPr>
          <w:rFonts w:ascii="Times New Roman" w:eastAsia="Helvetica" w:hAnsi="Times New Roman" w:cs="Times New Roman"/>
          <w:color w:val="auto"/>
          <w:sz w:val="28"/>
          <w:szCs w:val="28"/>
        </w:rPr>
      </w:pPr>
      <w:r w:rsidRPr="00B644BF">
        <w:rPr>
          <w:rFonts w:ascii="Times New Roman" w:hAnsi="Times New Roman" w:cs="Times New Roman"/>
          <w:color w:val="auto"/>
          <w:sz w:val="28"/>
          <w:szCs w:val="28"/>
        </w:rPr>
        <w:t>Кроме того, внесённые изменения и дополнения в коллективный договор подлежат обязательной регистрации. Регистрация осуществляется по общим правилам, установленным для регистрации коллективных договоров и соглашений, с соблюдением всех необходимых процедур и требований.</w:t>
      </w:r>
    </w:p>
    <w:p w:rsidR="00507CF9" w:rsidRPr="00B644BF" w:rsidRDefault="00507CF9" w:rsidP="004611AA">
      <w:pPr>
        <w:pStyle w:val="af3"/>
        <w:suppressAutoHyphens/>
        <w:spacing w:before="0" w:line="240" w:lineRule="auto"/>
        <w:ind w:firstLine="709"/>
        <w:jc w:val="both"/>
        <w:rPr>
          <w:rFonts w:ascii="Times New Roman" w:eastAsia="Helvetica" w:hAnsi="Times New Roman" w:cs="Times New Roman"/>
          <w:color w:val="auto"/>
          <w:sz w:val="28"/>
          <w:szCs w:val="28"/>
        </w:rPr>
      </w:pPr>
      <w:r w:rsidRPr="00B644BF">
        <w:rPr>
          <w:rFonts w:ascii="Times New Roman" w:hAnsi="Times New Roman" w:cs="Times New Roman"/>
          <w:color w:val="auto"/>
          <w:sz w:val="28"/>
          <w:szCs w:val="28"/>
        </w:rPr>
        <w:t>Работники, от имени которых был заключён коллективный договор, должны информироваться о ходе его исполнения в сроки, установленные самим договором, но при этом не реже одного раза в полугодие.</w:t>
      </w:r>
    </w:p>
    <w:p w:rsidR="00507CF9" w:rsidRPr="00B644BF" w:rsidRDefault="00507CF9" w:rsidP="004611AA">
      <w:pPr>
        <w:pStyle w:val="af3"/>
        <w:suppressAutoHyphens/>
        <w:spacing w:before="0" w:line="240" w:lineRule="auto"/>
        <w:ind w:firstLine="709"/>
        <w:jc w:val="both"/>
        <w:rPr>
          <w:rFonts w:ascii="Times New Roman" w:eastAsia="Helvetica" w:hAnsi="Times New Roman" w:cs="Times New Roman"/>
          <w:color w:val="auto"/>
          <w:sz w:val="28"/>
          <w:szCs w:val="28"/>
        </w:rPr>
      </w:pPr>
      <w:r w:rsidRPr="00B644BF">
        <w:rPr>
          <w:rFonts w:ascii="Times New Roman" w:hAnsi="Times New Roman" w:cs="Times New Roman"/>
          <w:color w:val="auto"/>
          <w:sz w:val="28"/>
          <w:szCs w:val="28"/>
        </w:rPr>
        <w:t>Таким образом, порядок заключения коллективного договора в Республике Беларусь включает коллективные переговоры, создание паритетной комиссии, обсуждение проекта, подписание и обязательную регистрацию. Законодательство требует письменной формы, чётких формулировок, доступности текста для работников и устанавливает ответственность за нарушение процедуры. Полагаем, что соблюдение данных требований обеспечивает легитимность договора и стабильность трудовых отношений.</w:t>
      </w:r>
    </w:p>
    <w:p w:rsidR="00507CF9" w:rsidRPr="00B644BF" w:rsidRDefault="00507CF9" w:rsidP="004611AA">
      <w:pPr>
        <w:pStyle w:val="af3"/>
        <w:suppressAutoHyphens/>
        <w:spacing w:before="0" w:line="240" w:lineRule="auto"/>
        <w:ind w:firstLine="709"/>
        <w:jc w:val="both"/>
        <w:rPr>
          <w:rFonts w:ascii="Times New Roman" w:eastAsia="Helvetica" w:hAnsi="Times New Roman" w:cs="Times New Roman"/>
          <w:color w:val="auto"/>
          <w:sz w:val="28"/>
          <w:szCs w:val="28"/>
        </w:rPr>
      </w:pPr>
      <w:r w:rsidRPr="00B644BF">
        <w:rPr>
          <w:rFonts w:ascii="Times New Roman" w:hAnsi="Times New Roman" w:cs="Times New Roman"/>
          <w:color w:val="auto"/>
          <w:sz w:val="28"/>
          <w:szCs w:val="28"/>
        </w:rPr>
        <w:t> </w:t>
      </w:r>
    </w:p>
    <w:p w:rsidR="00507CF9" w:rsidRPr="004611AA" w:rsidRDefault="00507CF9" w:rsidP="004611AA">
      <w:pPr>
        <w:pStyle w:val="af3"/>
        <w:suppressAutoHyphens/>
        <w:spacing w:before="0" w:line="240" w:lineRule="auto"/>
        <w:ind w:firstLine="709"/>
        <w:jc w:val="center"/>
        <w:rPr>
          <w:rFonts w:ascii="Times New Roman" w:eastAsia="Helvetica" w:hAnsi="Times New Roman" w:cs="Times New Roman"/>
          <w:b/>
          <w:color w:val="auto"/>
          <w:sz w:val="28"/>
          <w:szCs w:val="28"/>
        </w:rPr>
      </w:pPr>
      <w:r w:rsidRPr="004611AA">
        <w:rPr>
          <w:rFonts w:ascii="Times New Roman" w:hAnsi="Times New Roman" w:cs="Times New Roman"/>
          <w:b/>
          <w:color w:val="auto"/>
          <w:sz w:val="28"/>
          <w:szCs w:val="28"/>
        </w:rPr>
        <w:t>Список литературы:</w:t>
      </w:r>
    </w:p>
    <w:p w:rsidR="00507CF9" w:rsidRDefault="00507CF9" w:rsidP="004611AA">
      <w:pPr>
        <w:pStyle w:val="af3"/>
        <w:suppressAutoHyphens/>
        <w:spacing w:before="0" w:line="240" w:lineRule="auto"/>
        <w:ind w:firstLine="709"/>
        <w:jc w:val="both"/>
        <w:rPr>
          <w:rFonts w:ascii="Times New Roman" w:hAnsi="Times New Roman" w:cs="Times New Roman"/>
          <w:color w:val="auto"/>
        </w:rPr>
      </w:pPr>
      <w:r w:rsidRPr="00B644BF">
        <w:rPr>
          <w:rFonts w:ascii="Times New Roman" w:hAnsi="Times New Roman" w:cs="Times New Roman"/>
          <w:color w:val="auto"/>
        </w:rPr>
        <w:t>1. Греченков, А. А. Трудовое право: учеб. пособие / А. А. Греченков. – Мн</w:t>
      </w:r>
      <w:r w:rsidRPr="00B644BF">
        <w:rPr>
          <w:rFonts w:ascii="Times New Roman" w:hAnsi="Times New Roman" w:cs="Times New Roman"/>
          <w:color w:val="auto"/>
          <w:lang w:val="fr-FR"/>
        </w:rPr>
        <w:t xml:space="preserve">. : </w:t>
      </w:r>
      <w:r w:rsidRPr="00B644BF">
        <w:rPr>
          <w:rFonts w:ascii="Times New Roman" w:hAnsi="Times New Roman" w:cs="Times New Roman"/>
          <w:color w:val="auto"/>
        </w:rPr>
        <w:t>Адукацыя i выхаванне, 2013. – 376 с.</w:t>
      </w:r>
    </w:p>
    <w:p w:rsidR="004611AA" w:rsidRDefault="004611AA" w:rsidP="00E23467">
      <w:pPr>
        <w:widowControl w:val="0"/>
        <w:spacing w:after="0" w:line="240" w:lineRule="auto"/>
        <w:jc w:val="center"/>
        <w:rPr>
          <w:rFonts w:ascii="Times New Roman" w:hAnsi="Times New Roman" w:cs="Times New Roman"/>
          <w:b/>
          <w:szCs w:val="28"/>
        </w:rPr>
      </w:pPr>
    </w:p>
    <w:p w:rsidR="00507CF9" w:rsidRPr="00E23467" w:rsidRDefault="00507CF9" w:rsidP="00E23467">
      <w:pPr>
        <w:widowControl w:val="0"/>
        <w:spacing w:after="0" w:line="240" w:lineRule="auto"/>
        <w:jc w:val="center"/>
        <w:rPr>
          <w:rFonts w:ascii="Times New Roman" w:hAnsi="Times New Roman" w:cs="Times New Roman"/>
          <w:b/>
          <w:sz w:val="28"/>
          <w:szCs w:val="28"/>
        </w:rPr>
      </w:pPr>
      <w:r w:rsidRPr="00E23467">
        <w:rPr>
          <w:rFonts w:ascii="Times New Roman" w:hAnsi="Times New Roman" w:cs="Times New Roman"/>
          <w:b/>
          <w:sz w:val="28"/>
          <w:szCs w:val="28"/>
        </w:rPr>
        <w:t>ЭКОЛОГИЧЕСКИЕ СТАНДАРТЫ И УСТОЙЧИВОЕ РАЗВИТИЕ: ПРАВОВОЕ РЕГУЛИРОВАНИЕ «ЗЕЛЕНЫХ» ТРАНСПОРТНЫХ ИНИЦИАТИВ</w:t>
      </w:r>
    </w:p>
    <w:p w:rsidR="00507CF9" w:rsidRPr="00E23467" w:rsidRDefault="00507CF9" w:rsidP="00507CF9">
      <w:pPr>
        <w:widowControl w:val="0"/>
        <w:spacing w:after="0"/>
        <w:jc w:val="center"/>
        <w:rPr>
          <w:rFonts w:ascii="Times New Roman" w:hAnsi="Times New Roman" w:cs="Times New Roman"/>
          <w:b/>
          <w:sz w:val="28"/>
          <w:szCs w:val="28"/>
        </w:rPr>
      </w:pPr>
    </w:p>
    <w:p w:rsidR="00507CF9" w:rsidRPr="00E23467" w:rsidRDefault="00507CF9" w:rsidP="00E23467">
      <w:pPr>
        <w:widowControl w:val="0"/>
        <w:spacing w:after="0" w:line="240" w:lineRule="auto"/>
        <w:ind w:firstLine="709"/>
        <w:jc w:val="center"/>
        <w:rPr>
          <w:rFonts w:ascii="Times New Roman" w:hAnsi="Times New Roman" w:cs="Times New Roman"/>
          <w:b/>
          <w:sz w:val="28"/>
          <w:szCs w:val="28"/>
        </w:rPr>
      </w:pPr>
      <w:r w:rsidRPr="00E23467">
        <w:rPr>
          <w:rFonts w:ascii="Times New Roman" w:hAnsi="Times New Roman" w:cs="Times New Roman"/>
          <w:b/>
          <w:sz w:val="28"/>
          <w:szCs w:val="28"/>
        </w:rPr>
        <w:t>Ховратова Светлана Николаевна</w:t>
      </w:r>
    </w:p>
    <w:p w:rsidR="00507CF9" w:rsidRPr="00E23467" w:rsidRDefault="00507CF9" w:rsidP="00E23467">
      <w:pPr>
        <w:widowControl w:val="0"/>
        <w:spacing w:after="0" w:line="240" w:lineRule="auto"/>
        <w:ind w:firstLine="709"/>
        <w:jc w:val="center"/>
        <w:rPr>
          <w:rFonts w:ascii="Times New Roman" w:hAnsi="Times New Roman" w:cs="Times New Roman"/>
          <w:sz w:val="28"/>
          <w:szCs w:val="28"/>
        </w:rPr>
      </w:pPr>
      <w:r w:rsidRPr="00E23467">
        <w:rPr>
          <w:rFonts w:ascii="Times New Roman" w:hAnsi="Times New Roman" w:cs="Times New Roman"/>
          <w:sz w:val="28"/>
          <w:szCs w:val="28"/>
        </w:rPr>
        <w:t>старший преподаватель кафедры юриспруденции</w:t>
      </w:r>
    </w:p>
    <w:p w:rsidR="00507CF9" w:rsidRPr="00E23467" w:rsidRDefault="00507CF9" w:rsidP="00E23467">
      <w:pPr>
        <w:widowControl w:val="0"/>
        <w:spacing w:after="0" w:line="240" w:lineRule="auto"/>
        <w:ind w:firstLine="709"/>
        <w:jc w:val="center"/>
        <w:rPr>
          <w:rFonts w:ascii="Times New Roman" w:hAnsi="Times New Roman" w:cs="Times New Roman"/>
          <w:sz w:val="28"/>
          <w:szCs w:val="28"/>
        </w:rPr>
      </w:pPr>
      <w:r w:rsidRPr="00E23467">
        <w:rPr>
          <w:rFonts w:ascii="Times New Roman" w:hAnsi="Times New Roman" w:cs="Times New Roman"/>
          <w:sz w:val="28"/>
          <w:szCs w:val="28"/>
        </w:rPr>
        <w:t>Учреждения образования «Могилевский государственный университет имени А. А. Кулешова»</w:t>
      </w:r>
    </w:p>
    <w:p w:rsidR="00507CF9" w:rsidRPr="00E23467" w:rsidRDefault="00507CF9" w:rsidP="00E23467">
      <w:pPr>
        <w:widowControl w:val="0"/>
        <w:spacing w:after="0" w:line="240" w:lineRule="auto"/>
        <w:ind w:firstLine="709"/>
        <w:jc w:val="center"/>
        <w:rPr>
          <w:rFonts w:ascii="Times New Roman" w:hAnsi="Times New Roman" w:cs="Times New Roman"/>
          <w:sz w:val="28"/>
          <w:szCs w:val="28"/>
        </w:rPr>
      </w:pPr>
      <w:r w:rsidRPr="00E23467">
        <w:rPr>
          <w:rFonts w:ascii="Times New Roman" w:hAnsi="Times New Roman" w:cs="Times New Roman"/>
          <w:sz w:val="28"/>
          <w:szCs w:val="28"/>
        </w:rPr>
        <w:t>(г. Могилев, Беларусь)</w:t>
      </w:r>
    </w:p>
    <w:p w:rsidR="00507CF9" w:rsidRPr="00E23467" w:rsidRDefault="00F975FD" w:rsidP="00E23467">
      <w:pPr>
        <w:widowControl w:val="0"/>
        <w:spacing w:after="0" w:line="240" w:lineRule="auto"/>
        <w:ind w:firstLine="709"/>
        <w:jc w:val="center"/>
        <w:rPr>
          <w:rFonts w:ascii="Times New Roman" w:hAnsi="Times New Roman" w:cs="Times New Roman"/>
          <w:sz w:val="28"/>
          <w:szCs w:val="28"/>
        </w:rPr>
      </w:pPr>
      <w:hyperlink r:id="rId29" w:history="1">
        <w:r w:rsidR="00507CF9" w:rsidRPr="00E23467">
          <w:rPr>
            <w:rStyle w:val="a5"/>
            <w:rFonts w:ascii="Times New Roman" w:hAnsi="Times New Roman" w:cs="Times New Roman"/>
            <w:color w:val="auto"/>
            <w:sz w:val="28"/>
            <w:szCs w:val="28"/>
            <w:u w:val="none"/>
            <w:lang w:val="en-US"/>
          </w:rPr>
          <w:t>hovratova</w:t>
        </w:r>
        <w:r w:rsidR="00507CF9" w:rsidRPr="00E23467">
          <w:rPr>
            <w:rStyle w:val="a5"/>
            <w:rFonts w:ascii="Times New Roman" w:hAnsi="Times New Roman" w:cs="Times New Roman"/>
            <w:color w:val="auto"/>
            <w:sz w:val="28"/>
            <w:szCs w:val="28"/>
            <w:u w:val="none"/>
          </w:rPr>
          <w:t>@</w:t>
        </w:r>
        <w:r w:rsidR="00507CF9" w:rsidRPr="00E23467">
          <w:rPr>
            <w:rStyle w:val="a5"/>
            <w:rFonts w:ascii="Times New Roman" w:hAnsi="Times New Roman" w:cs="Times New Roman"/>
            <w:color w:val="auto"/>
            <w:sz w:val="28"/>
            <w:szCs w:val="28"/>
            <w:u w:val="none"/>
            <w:lang w:val="en-US"/>
          </w:rPr>
          <w:t>m</w:t>
        </w:r>
        <w:r w:rsidR="00507CF9" w:rsidRPr="00E23467">
          <w:rPr>
            <w:rStyle w:val="a5"/>
            <w:rFonts w:ascii="Times New Roman" w:hAnsi="Times New Roman" w:cs="Times New Roman"/>
            <w:color w:val="auto"/>
            <w:sz w:val="28"/>
            <w:szCs w:val="28"/>
            <w:u w:val="none"/>
          </w:rPr>
          <w:t>.</w:t>
        </w:r>
        <w:r w:rsidR="00507CF9" w:rsidRPr="00E23467">
          <w:rPr>
            <w:rStyle w:val="a5"/>
            <w:rFonts w:ascii="Times New Roman" w:hAnsi="Times New Roman" w:cs="Times New Roman"/>
            <w:color w:val="auto"/>
            <w:sz w:val="28"/>
            <w:szCs w:val="28"/>
            <w:u w:val="none"/>
            <w:lang w:val="en-US"/>
          </w:rPr>
          <w:t>msu</w:t>
        </w:r>
        <w:r w:rsidR="00507CF9" w:rsidRPr="00E23467">
          <w:rPr>
            <w:rStyle w:val="a5"/>
            <w:rFonts w:ascii="Times New Roman" w:hAnsi="Times New Roman" w:cs="Times New Roman"/>
            <w:color w:val="auto"/>
            <w:sz w:val="28"/>
            <w:szCs w:val="28"/>
            <w:u w:val="none"/>
          </w:rPr>
          <w:t>.</w:t>
        </w:r>
        <w:r w:rsidR="00507CF9" w:rsidRPr="00E23467">
          <w:rPr>
            <w:rStyle w:val="a5"/>
            <w:rFonts w:ascii="Times New Roman" w:hAnsi="Times New Roman" w:cs="Times New Roman"/>
            <w:color w:val="auto"/>
            <w:sz w:val="28"/>
            <w:szCs w:val="28"/>
            <w:u w:val="none"/>
            <w:lang w:val="en-US"/>
          </w:rPr>
          <w:t>by</w:t>
        </w:r>
      </w:hyperlink>
    </w:p>
    <w:p w:rsidR="00507CF9" w:rsidRPr="00E23467" w:rsidRDefault="00507CF9" w:rsidP="00E23467">
      <w:pPr>
        <w:widowControl w:val="0"/>
        <w:spacing w:after="0" w:line="240" w:lineRule="auto"/>
        <w:ind w:firstLine="709"/>
        <w:jc w:val="center"/>
        <w:rPr>
          <w:rFonts w:ascii="Times New Roman" w:hAnsi="Times New Roman" w:cs="Times New Roman"/>
          <w:sz w:val="28"/>
          <w:szCs w:val="28"/>
        </w:rPr>
      </w:pPr>
    </w:p>
    <w:p w:rsidR="00507CF9" w:rsidRPr="00B644BF" w:rsidRDefault="00507CF9" w:rsidP="00E23467">
      <w:pPr>
        <w:pStyle w:val="Standard"/>
        <w:widowControl w:val="0"/>
        <w:spacing w:after="0" w:line="240" w:lineRule="auto"/>
        <w:ind w:firstLine="709"/>
        <w:jc w:val="both"/>
        <w:rPr>
          <w:rFonts w:ascii="Times New Roman" w:hAnsi="Times New Roman" w:cs="Times New Roman"/>
          <w:i/>
          <w:sz w:val="24"/>
          <w:szCs w:val="24"/>
        </w:rPr>
      </w:pPr>
      <w:r w:rsidRPr="00B644BF">
        <w:rPr>
          <w:rFonts w:ascii="Times New Roman" w:hAnsi="Times New Roman" w:cs="Times New Roman"/>
          <w:b/>
          <w:sz w:val="24"/>
          <w:szCs w:val="24"/>
        </w:rPr>
        <w:t>Аннотация.</w:t>
      </w:r>
      <w:r w:rsidRPr="00B644BF">
        <w:rPr>
          <w:rFonts w:ascii="Times New Roman" w:hAnsi="Times New Roman" w:cs="Times New Roman"/>
          <w:sz w:val="24"/>
          <w:szCs w:val="24"/>
        </w:rPr>
        <w:t xml:space="preserve"> </w:t>
      </w:r>
      <w:r w:rsidRPr="00E23467">
        <w:rPr>
          <w:rFonts w:ascii="Times New Roman" w:hAnsi="Times New Roman" w:cs="Times New Roman"/>
          <w:sz w:val="24"/>
          <w:szCs w:val="24"/>
        </w:rPr>
        <w:t>В настоящей статье рассматривается вопрос о правовом регулировании «зеленых» транспортных инициатив. Автором анализируются экологические стандарты и устойчивое развитие как ключевые элементы правового регулирования в сфере транспорта.</w:t>
      </w:r>
      <w:r w:rsidRPr="00B644BF">
        <w:rPr>
          <w:rFonts w:ascii="Times New Roman" w:hAnsi="Times New Roman" w:cs="Times New Roman"/>
          <w:i/>
          <w:sz w:val="24"/>
          <w:szCs w:val="24"/>
        </w:rPr>
        <w:t xml:space="preserve"> </w:t>
      </w:r>
    </w:p>
    <w:p w:rsidR="00507CF9" w:rsidRPr="00E23467" w:rsidRDefault="00507CF9" w:rsidP="00E23467">
      <w:pPr>
        <w:widowControl w:val="0"/>
        <w:spacing w:after="0" w:line="240" w:lineRule="auto"/>
        <w:ind w:firstLine="709"/>
        <w:jc w:val="both"/>
        <w:rPr>
          <w:rFonts w:ascii="Times New Roman" w:hAnsi="Times New Roman" w:cs="Times New Roman"/>
          <w:sz w:val="24"/>
          <w:szCs w:val="24"/>
        </w:rPr>
      </w:pPr>
      <w:r w:rsidRPr="00B644BF">
        <w:rPr>
          <w:rFonts w:ascii="Times New Roman" w:hAnsi="Times New Roman" w:cs="Times New Roman"/>
          <w:b/>
          <w:sz w:val="24"/>
          <w:szCs w:val="24"/>
        </w:rPr>
        <w:t xml:space="preserve">Ключевые слова. </w:t>
      </w:r>
      <w:r w:rsidRPr="00E23467">
        <w:rPr>
          <w:rFonts w:ascii="Times New Roman" w:hAnsi="Times New Roman" w:cs="Times New Roman"/>
          <w:sz w:val="24"/>
          <w:szCs w:val="24"/>
        </w:rPr>
        <w:t>«Зеленая» инициатива, окружающая среда, транспорт, устойчивое развитие, экологические стандарты.</w:t>
      </w:r>
    </w:p>
    <w:p w:rsidR="00507CF9" w:rsidRPr="00B644BF" w:rsidRDefault="00507CF9" w:rsidP="00E23467">
      <w:pPr>
        <w:widowControl w:val="0"/>
        <w:spacing w:after="0" w:line="240" w:lineRule="auto"/>
        <w:ind w:firstLine="709"/>
        <w:jc w:val="both"/>
        <w:rPr>
          <w:rFonts w:ascii="Times New Roman" w:hAnsi="Times New Roman" w:cs="Times New Roman"/>
        </w:rPr>
      </w:pPr>
    </w:p>
    <w:p w:rsidR="00507CF9" w:rsidRPr="00E23467" w:rsidRDefault="00507CF9" w:rsidP="00E23467">
      <w:pPr>
        <w:spacing w:after="0" w:line="240" w:lineRule="auto"/>
        <w:ind w:firstLine="709"/>
        <w:jc w:val="both"/>
        <w:rPr>
          <w:rFonts w:ascii="Times New Roman" w:hAnsi="Times New Roman" w:cs="Times New Roman"/>
          <w:sz w:val="28"/>
          <w:szCs w:val="28"/>
        </w:rPr>
      </w:pPr>
      <w:r w:rsidRPr="00E23467">
        <w:rPr>
          <w:rFonts w:ascii="Times New Roman" w:hAnsi="Times New Roman" w:cs="Times New Roman"/>
          <w:sz w:val="28"/>
          <w:szCs w:val="28"/>
        </w:rPr>
        <w:t>Экологические стандарты и устойчивое развитие становятся ключевыми элементами правового регулирования в сфере транспорта, особенно в контексте борьбы с изменением климата и снижения негативного воздействия на окружающую среду. «Зеленые» транспортные инициативы направлены на сокращение выбросов вредных веществ, повышение энергоэффективности и внедрение экологически чистых технологий. На международном уровне экологические стандарты и «зеленые» инициативы регулируются рядом соглашений и инициатив, таких как Парижское соглашение, Киотский протокол и Европейский Green Deal. Парижское соглашение, принятое в 2015 году, ставит целью удержать рост глобальной температуры ниже 2°C, и страны-участницы обязались сокращать выбросы парниковых газов, включая выбросы от транспорта [1]. Киотский протокол, подписанный в 1997 году, устанавливает обязательства по сокращению выбросов парниковых газов, включая CO</w:t>
      </w:r>
      <w:r w:rsidRPr="00E23467">
        <w:rPr>
          <w:rFonts w:cs="Times New Roman"/>
          <w:sz w:val="28"/>
          <w:szCs w:val="28"/>
        </w:rPr>
        <w:t>₂</w:t>
      </w:r>
      <w:r w:rsidRPr="00E23467">
        <w:rPr>
          <w:rFonts w:ascii="Times New Roman" w:hAnsi="Times New Roman" w:cs="Times New Roman"/>
          <w:sz w:val="28"/>
          <w:szCs w:val="28"/>
        </w:rPr>
        <w:t xml:space="preserve"> от транспортных средств. Европейский Green Deal – это стратегия ЕС, направленная на достижение углеродной нейтральности к 2050 году, которая включает меры по переходу на экологически чистый транспорт, такие как развитие электромобилей и использование альтернативных видов топлива [2].</w:t>
      </w:r>
    </w:p>
    <w:p w:rsidR="00507CF9" w:rsidRPr="00E23467" w:rsidRDefault="00507CF9" w:rsidP="00E23467">
      <w:pPr>
        <w:widowControl w:val="0"/>
        <w:spacing w:after="0" w:line="240" w:lineRule="auto"/>
        <w:ind w:firstLine="709"/>
        <w:jc w:val="both"/>
        <w:rPr>
          <w:rFonts w:ascii="Times New Roman" w:hAnsi="Times New Roman" w:cs="Times New Roman"/>
          <w:sz w:val="28"/>
          <w:szCs w:val="28"/>
        </w:rPr>
      </w:pPr>
      <w:r w:rsidRPr="00E23467">
        <w:rPr>
          <w:rFonts w:ascii="Times New Roman" w:hAnsi="Times New Roman" w:cs="Times New Roman"/>
          <w:sz w:val="28"/>
          <w:szCs w:val="28"/>
        </w:rPr>
        <w:t>Кроме того, на международном уровне активно внедряются инициативы в сфере транспорта, такие как стандарты Евро, которые ограничивают выбросы оксидов азота, твердых частиц и углекислого газа. В Европе действуют строгие экологические стандарты для транспортных средств (Евро-5, Евро-6), которые стимулируют производителей разрабатывать более экологичные технологии. Также международные организации разрабатывают стандарты для снижения выбросов во всех видах транспорта [3].</w:t>
      </w:r>
    </w:p>
    <w:p w:rsidR="00507CF9" w:rsidRPr="00E23467" w:rsidRDefault="00507CF9" w:rsidP="00E23467">
      <w:pPr>
        <w:widowControl w:val="0"/>
        <w:spacing w:after="0" w:line="240" w:lineRule="auto"/>
        <w:ind w:firstLine="709"/>
        <w:jc w:val="both"/>
        <w:rPr>
          <w:rFonts w:ascii="Times New Roman" w:hAnsi="Times New Roman" w:cs="Times New Roman"/>
          <w:sz w:val="28"/>
          <w:szCs w:val="28"/>
        </w:rPr>
      </w:pPr>
      <w:r w:rsidRPr="00E23467">
        <w:rPr>
          <w:rFonts w:ascii="Times New Roman" w:hAnsi="Times New Roman" w:cs="Times New Roman"/>
          <w:sz w:val="28"/>
          <w:szCs w:val="28"/>
        </w:rPr>
        <w:t>На национальном уровне страны принимают законы и программы, направленные на поддержку «зеленых» транспортных инициатив. Эти меры включают налоговые льготы и субсидии для производителей и покупателей электромобилей, гибридных автомобилей и транспортных средств на альтернативных видах топлива. Некоторые страны, такие как Великобритания и Франция, планируют полностью запретить продажу автомобилей с двигателями внутреннего сгорания к 2030–2040 годам [4]. В городах создаются экологические зоны с ограниченным въездом для транспортных средств, не соответствующих экологическим стандартам, например, зоны низкого уровня выбросов в Лондоне или Берлине. Также страны активно развивают инфраструктуру для электромобилей, строя зарядные станции и предоставляя льготы для владельцев электромобилей, и стимулируют развитие экологически чистого общественного транспорта, такого как электробусы и поезда на водородном топливе.</w:t>
      </w:r>
    </w:p>
    <w:p w:rsidR="00507CF9" w:rsidRPr="00E23467" w:rsidRDefault="00507CF9" w:rsidP="00E23467">
      <w:pPr>
        <w:widowControl w:val="0"/>
        <w:spacing w:after="0" w:line="240" w:lineRule="auto"/>
        <w:ind w:firstLine="709"/>
        <w:jc w:val="both"/>
        <w:rPr>
          <w:rFonts w:ascii="Times New Roman" w:hAnsi="Times New Roman" w:cs="Times New Roman"/>
          <w:sz w:val="28"/>
          <w:szCs w:val="28"/>
        </w:rPr>
      </w:pPr>
      <w:r w:rsidRPr="00E23467">
        <w:rPr>
          <w:rFonts w:ascii="Times New Roman" w:hAnsi="Times New Roman" w:cs="Times New Roman"/>
          <w:sz w:val="28"/>
          <w:szCs w:val="28"/>
        </w:rPr>
        <w:t xml:space="preserve">Экологические стандарты для транспортных средств играют </w:t>
      </w:r>
      <w:r w:rsidRPr="00E23467">
        <w:rPr>
          <w:rFonts w:ascii="Times New Roman" w:hAnsi="Times New Roman" w:cs="Times New Roman"/>
          <w:sz w:val="28"/>
          <w:szCs w:val="28"/>
        </w:rPr>
        <w:lastRenderedPageBreak/>
        <w:t>ключевую роль в снижении воздействия транспорта на окружающую среду. Они устанавливают предельные значения выбросов вредных веществ и стимулируют производителей разрабатывать более экологичные технологии. Например, в Европе действуют стандарты Евро-5 и Евро-6, которые регулируют выбросы для автомобилей [5]. В США стандарты CAFE (Corporate Average Fuel Economy) требуют от производителей автомобилей повышать среднюю топливную экономичность своих моделей [6].</w:t>
      </w:r>
    </w:p>
    <w:p w:rsidR="00507CF9" w:rsidRPr="00E23467" w:rsidRDefault="00507CF9" w:rsidP="00E23467">
      <w:pPr>
        <w:widowControl w:val="0"/>
        <w:spacing w:after="0" w:line="240" w:lineRule="auto"/>
        <w:ind w:firstLine="709"/>
        <w:jc w:val="both"/>
        <w:rPr>
          <w:rFonts w:ascii="Times New Roman" w:hAnsi="Times New Roman" w:cs="Times New Roman"/>
          <w:sz w:val="28"/>
          <w:szCs w:val="28"/>
        </w:rPr>
      </w:pPr>
      <w:r w:rsidRPr="00E23467">
        <w:rPr>
          <w:rFonts w:ascii="Times New Roman" w:hAnsi="Times New Roman" w:cs="Times New Roman"/>
          <w:sz w:val="28"/>
          <w:szCs w:val="28"/>
        </w:rPr>
        <w:t>Устойчивое развитие в транспорте предполагает баланс между экономическими, социальными и экологическими аспектами. «Зеленые» инициативы включают переход на электромобили и гибриды, использование альтернативных видов топлива, таких как водород, биотопливо и сжиженный природный газ, оптимизацию маршрутов и использование технологий для снижения расхода топлива и выбросов, а также развитие экологически чистых видов общественного транспорта, таких как электробусы и трамваи [7].</w:t>
      </w:r>
    </w:p>
    <w:p w:rsidR="00507CF9" w:rsidRPr="00E23467" w:rsidRDefault="00507CF9" w:rsidP="00E23467">
      <w:pPr>
        <w:widowControl w:val="0"/>
        <w:spacing w:after="0" w:line="240" w:lineRule="auto"/>
        <w:ind w:firstLine="709"/>
        <w:jc w:val="both"/>
        <w:rPr>
          <w:rFonts w:ascii="Times New Roman" w:hAnsi="Times New Roman" w:cs="Times New Roman"/>
          <w:sz w:val="28"/>
          <w:szCs w:val="28"/>
        </w:rPr>
      </w:pPr>
      <w:r w:rsidRPr="00E23467">
        <w:rPr>
          <w:rFonts w:ascii="Times New Roman" w:hAnsi="Times New Roman" w:cs="Times New Roman"/>
          <w:sz w:val="28"/>
          <w:szCs w:val="28"/>
        </w:rPr>
        <w:t>Несмотря на активное развитие «зеленых» инициатив, развитие «зеленого» транспорта сталкивается с комплексом правовых и практических вызовов, требующих системного подхода для их преодоления. Одной из ключевых правовых проблем остаётся неоднородность экологических стандартов между странами. Например, строгие нормы выбросов в ЕС контрастируют с более мягкими требованиями в развивающихся государствах, что создает сложности для международных перевозчиков. Компании вынуждены тратить ресурсы на адаптацию к разным нормам, что увеличивает затраты на сертификацию и технологии. Усугубляет ситуацию отсутствие глобальной координации: регуляторные пробелы в таких сферах, как безопасность водородных систем или унификация критериев CO</w:t>
      </w:r>
      <w:r w:rsidRPr="00E23467">
        <w:rPr>
          <w:rFonts w:cs="Times New Roman"/>
          <w:sz w:val="28"/>
          <w:szCs w:val="28"/>
        </w:rPr>
        <w:t>₂</w:t>
      </w:r>
      <w:r w:rsidRPr="00E23467">
        <w:rPr>
          <w:rFonts w:ascii="Times New Roman" w:hAnsi="Times New Roman" w:cs="Times New Roman"/>
          <w:sz w:val="28"/>
          <w:szCs w:val="28"/>
        </w:rPr>
        <w:t>, замедляют формирование единых правил. Кроме того, недостаток инфраструктуры, такой как зарядные станции для электромобилей или заправки для водорода, замедляет переход на «зеленый» транспорт.</w:t>
      </w:r>
    </w:p>
    <w:p w:rsidR="00507CF9" w:rsidRPr="00E23467" w:rsidRDefault="00507CF9" w:rsidP="00E23467">
      <w:pPr>
        <w:spacing w:after="0" w:line="240" w:lineRule="auto"/>
        <w:ind w:firstLine="709"/>
        <w:jc w:val="both"/>
        <w:rPr>
          <w:rFonts w:ascii="Times New Roman" w:hAnsi="Times New Roman" w:cs="Times New Roman"/>
          <w:sz w:val="28"/>
          <w:szCs w:val="28"/>
        </w:rPr>
      </w:pPr>
      <w:r w:rsidRPr="00E23467">
        <w:rPr>
          <w:rFonts w:ascii="Times New Roman" w:hAnsi="Times New Roman" w:cs="Times New Roman"/>
          <w:sz w:val="28"/>
          <w:szCs w:val="28"/>
        </w:rPr>
        <w:t xml:space="preserve">Необходимо отметить, что на практике основными барьерами становятся высокая стоимость технологий и дефицит инфраструктуры. Внедрение электромобилей и водородных топливных элементов требует значительных инвестиций, что особенно тяжело для малого бизнеса. Даже при наличии финансов компании сталкиваются с дополнительными расходами на обучение сотрудников и техническое обслуживание. Не менее важной является проблема инфраструктуры: это недостаточность зарядных станций и водородных заправок ограничивает логистические маршруты и увеличивает риски простоев. Эта ситуация напоминает «дилемму курицы и яйца» – инфраструктура не развивается без спроса, а спрос не растет без доступной инфраструктуры. Технологические </w:t>
      </w:r>
      <w:r w:rsidRPr="00E23467">
        <w:rPr>
          <w:rFonts w:ascii="Times New Roman" w:hAnsi="Times New Roman" w:cs="Times New Roman"/>
          <w:sz w:val="28"/>
          <w:szCs w:val="28"/>
        </w:rPr>
        <w:lastRenderedPageBreak/>
        <w:t>ограничения, такие как малый запас хода аккумуляторов или низкая эффективность «зеленого» водорода, дополнительно тормозят прогресс.</w:t>
      </w:r>
    </w:p>
    <w:p w:rsidR="00507CF9" w:rsidRPr="00E23467" w:rsidRDefault="00507CF9" w:rsidP="00E23467">
      <w:pPr>
        <w:spacing w:after="0" w:line="240" w:lineRule="auto"/>
        <w:ind w:firstLine="709"/>
        <w:jc w:val="both"/>
        <w:rPr>
          <w:rFonts w:ascii="Times New Roman" w:hAnsi="Times New Roman" w:cs="Times New Roman"/>
          <w:sz w:val="28"/>
          <w:szCs w:val="28"/>
        </w:rPr>
      </w:pPr>
      <w:r w:rsidRPr="00E23467">
        <w:rPr>
          <w:rFonts w:ascii="Times New Roman" w:hAnsi="Times New Roman" w:cs="Times New Roman"/>
          <w:sz w:val="28"/>
          <w:szCs w:val="28"/>
        </w:rPr>
        <w:t xml:space="preserve">Для решения этих проблем необходима комбинация мер на международном, государственном и корпоративном уровнях. Гармонизация стандартов через платформы под эгидой ООН или G20 могла бы снизить регуляторную фрагментацию. Примером служат регламенты ЕС, которые уже стимулируют соседние страны адаптироваться к единым нормам. Финансовая поддержка в виде субсидий, налоговых льгот и «зеленых» кредитов поможет малым компаниям преодолеть высокие входные барьеры. Развитие инфраструктуры требует государственно-частного партнерства: проекты вроде сети Tesla Supercharger показывают, как можно ускорить создание зарядных сетей [8, с. 46]. </w:t>
      </w:r>
    </w:p>
    <w:p w:rsidR="00507CF9" w:rsidRPr="00E23467" w:rsidRDefault="00507CF9" w:rsidP="00E23467">
      <w:pPr>
        <w:widowControl w:val="0"/>
        <w:spacing w:after="0" w:line="240" w:lineRule="auto"/>
        <w:ind w:firstLine="709"/>
        <w:jc w:val="both"/>
        <w:rPr>
          <w:rFonts w:ascii="Times New Roman" w:hAnsi="Times New Roman" w:cs="Times New Roman"/>
          <w:sz w:val="28"/>
          <w:szCs w:val="28"/>
        </w:rPr>
      </w:pPr>
      <w:r w:rsidRPr="00E23467">
        <w:rPr>
          <w:rFonts w:ascii="Times New Roman" w:hAnsi="Times New Roman" w:cs="Times New Roman"/>
          <w:sz w:val="28"/>
          <w:szCs w:val="28"/>
        </w:rPr>
        <w:t xml:space="preserve">Технологические инновации, такие как твердотельные батареи и «зеленый» водород, играют ключевую роль в переходе к устойчивому транспорту. Однако их успешное внедрение требует не только технического прогресса, но и разработки комплексной нормативно-правовой базы, которая будет регулировать производство, использование и торговлю новыми технологиями. Международное сотрудничество в области Research and </w:t>
      </w:r>
      <w:r w:rsidRPr="00E23467">
        <w:rPr>
          <w:rFonts w:ascii="Times New Roman" w:hAnsi="Times New Roman" w:cs="Times New Roman"/>
          <w:sz w:val="28"/>
          <w:szCs w:val="28"/>
          <w:lang w:val="en-US"/>
        </w:rPr>
        <w:t>D</w:t>
      </w:r>
      <w:r w:rsidRPr="00E23467">
        <w:rPr>
          <w:rFonts w:ascii="Times New Roman" w:hAnsi="Times New Roman" w:cs="Times New Roman"/>
          <w:sz w:val="28"/>
          <w:szCs w:val="28"/>
        </w:rPr>
        <w:t>evelopment, поддержанное соответствующими правовыми механизмами, способно ускорить этот процесс и обеспечить выполнение глобальных экологических обязательств. Технологические инновации должны рассматриваться как неотъемлемая часть стратегии устойчивого развития, требующая скоординированных усилий со стороны государств, международных организаций и частного сектора.</w:t>
      </w:r>
    </w:p>
    <w:p w:rsidR="00507CF9" w:rsidRPr="00E23467" w:rsidRDefault="00507CF9" w:rsidP="00E23467">
      <w:pPr>
        <w:widowControl w:val="0"/>
        <w:spacing w:after="0" w:line="240" w:lineRule="auto"/>
        <w:ind w:firstLine="709"/>
        <w:jc w:val="both"/>
        <w:rPr>
          <w:rFonts w:ascii="Times New Roman" w:hAnsi="Times New Roman" w:cs="Times New Roman"/>
          <w:sz w:val="28"/>
          <w:szCs w:val="28"/>
        </w:rPr>
      </w:pPr>
      <w:r w:rsidRPr="00E23467">
        <w:rPr>
          <w:rFonts w:ascii="Times New Roman" w:hAnsi="Times New Roman" w:cs="Times New Roman"/>
          <w:sz w:val="28"/>
          <w:szCs w:val="28"/>
        </w:rPr>
        <w:t>Наконец, важно вовлечение общества и политической воли. Прозрачный диалог с регуляторами необходим для противодействия лоббированию со стороны традиционных энергетических компаний. Образовательные кампании и пилотные проекты, как переход DHL на электродоставку в городах, помогают преодолеть скептицизм и продемонстрировать жизнеспособность «зеленых» решений.</w:t>
      </w:r>
    </w:p>
    <w:p w:rsidR="00507CF9" w:rsidRPr="00E23467" w:rsidRDefault="00507CF9" w:rsidP="00E23467">
      <w:pPr>
        <w:widowControl w:val="0"/>
        <w:spacing w:after="0" w:line="240" w:lineRule="auto"/>
        <w:ind w:firstLine="709"/>
        <w:jc w:val="both"/>
        <w:rPr>
          <w:rFonts w:ascii="Times New Roman" w:hAnsi="Times New Roman" w:cs="Times New Roman"/>
          <w:sz w:val="28"/>
          <w:szCs w:val="28"/>
        </w:rPr>
      </w:pPr>
      <w:r w:rsidRPr="00E23467">
        <w:rPr>
          <w:rFonts w:ascii="Times New Roman" w:hAnsi="Times New Roman" w:cs="Times New Roman"/>
          <w:sz w:val="28"/>
          <w:szCs w:val="28"/>
        </w:rPr>
        <w:t>Таким образом, переход на «зеленый» транспорт возможен только через кооперацию всех сторон. Унификация стандартов, целевое финансирование, инфраструктурная экспансия и технологические прорывы должны стать частями единой стратегии. Это позволит трансформировать экологичный транспорт из нишевого решения в новую глобальную норму, отвечающую вызовам климатической эпохи.</w:t>
      </w:r>
    </w:p>
    <w:p w:rsidR="00507CF9" w:rsidRPr="00E23467" w:rsidRDefault="00507CF9" w:rsidP="00E23467">
      <w:pPr>
        <w:widowControl w:val="0"/>
        <w:spacing w:after="0" w:line="240" w:lineRule="auto"/>
        <w:ind w:firstLine="709"/>
        <w:jc w:val="both"/>
        <w:rPr>
          <w:rFonts w:ascii="Times New Roman" w:hAnsi="Times New Roman" w:cs="Times New Roman"/>
          <w:sz w:val="28"/>
          <w:szCs w:val="28"/>
        </w:rPr>
      </w:pPr>
      <w:r w:rsidRPr="00E23467">
        <w:rPr>
          <w:rFonts w:ascii="Times New Roman" w:hAnsi="Times New Roman" w:cs="Times New Roman"/>
          <w:sz w:val="28"/>
          <w:szCs w:val="28"/>
        </w:rPr>
        <w:t xml:space="preserve">Подводя итог, необходимо отметить, что правовое регулирование «зеленых» транспортных инициатив играет ключевую роль в достижении целей устойчивого развития и снижении воздействия транспорта на окружающую среду. Международные соглашения, национальные законы и экологические стандарты создают основу для перехода на экологически чистые технологии. Однако для успешной реализации этих инициатив </w:t>
      </w:r>
      <w:r w:rsidRPr="00E23467">
        <w:rPr>
          <w:rFonts w:ascii="Times New Roman" w:hAnsi="Times New Roman" w:cs="Times New Roman"/>
          <w:sz w:val="28"/>
          <w:szCs w:val="28"/>
        </w:rPr>
        <w:lastRenderedPageBreak/>
        <w:t>необходимо решить такие проблемы, как неравномерное внедрение стандартов, высокая стоимость технологий и недостаток инфраструктуры. В будущем развитие «зеленого» транспорта будет зависеть от совместных усилий государств, бизнеса и общества, направленных на создание устойчивой и интеллектуальной системы международных перевозок.</w:t>
      </w:r>
    </w:p>
    <w:p w:rsidR="00507CF9" w:rsidRPr="00B644BF" w:rsidRDefault="00507CF9" w:rsidP="00E23467">
      <w:pPr>
        <w:widowControl w:val="0"/>
        <w:spacing w:after="0" w:line="240" w:lineRule="auto"/>
        <w:ind w:firstLine="709"/>
        <w:jc w:val="both"/>
        <w:rPr>
          <w:rFonts w:ascii="Times New Roman" w:hAnsi="Times New Roman" w:cs="Times New Roman"/>
        </w:rPr>
      </w:pPr>
    </w:p>
    <w:p w:rsidR="00507CF9" w:rsidRPr="00E23467" w:rsidRDefault="00507CF9" w:rsidP="00E23467">
      <w:pPr>
        <w:widowControl w:val="0"/>
        <w:spacing w:after="0" w:line="240" w:lineRule="auto"/>
        <w:ind w:firstLine="709"/>
        <w:jc w:val="center"/>
        <w:rPr>
          <w:rFonts w:ascii="Times New Roman" w:hAnsi="Times New Roman" w:cs="Times New Roman"/>
          <w:b/>
          <w:sz w:val="28"/>
          <w:szCs w:val="28"/>
        </w:rPr>
      </w:pPr>
      <w:r w:rsidRPr="00E23467">
        <w:rPr>
          <w:rFonts w:ascii="Times New Roman" w:hAnsi="Times New Roman" w:cs="Times New Roman"/>
          <w:b/>
          <w:sz w:val="28"/>
          <w:szCs w:val="28"/>
        </w:rPr>
        <w:t>Список литературы</w:t>
      </w:r>
    </w:p>
    <w:p w:rsidR="00507CF9" w:rsidRPr="00E23467" w:rsidRDefault="00507CF9" w:rsidP="00E23467">
      <w:pPr>
        <w:pStyle w:val="a7"/>
        <w:widowControl w:val="0"/>
        <w:numPr>
          <w:ilvl w:val="0"/>
          <w:numId w:val="20"/>
        </w:numPr>
        <w:tabs>
          <w:tab w:val="left" w:pos="1134"/>
        </w:tabs>
        <w:spacing w:after="0" w:line="240" w:lineRule="auto"/>
        <w:ind w:left="0" w:firstLine="709"/>
        <w:jc w:val="both"/>
        <w:rPr>
          <w:rFonts w:ascii="Times New Roman" w:hAnsi="Times New Roman" w:cs="Times New Roman"/>
          <w:sz w:val="24"/>
          <w:szCs w:val="24"/>
        </w:rPr>
      </w:pPr>
      <w:bookmarkStart w:id="14" w:name="_Ref192763204"/>
      <w:bookmarkStart w:id="15" w:name="_Ref195536500"/>
      <w:r w:rsidRPr="00E23467">
        <w:rPr>
          <w:rFonts w:ascii="Times New Roman" w:hAnsi="Times New Roman" w:cs="Times New Roman"/>
          <w:sz w:val="24"/>
          <w:szCs w:val="24"/>
        </w:rPr>
        <w:t xml:space="preserve">Меры по борьбе с изменением климата // ООН. – </w:t>
      </w:r>
      <w:r w:rsidRPr="00E23467">
        <w:rPr>
          <w:rFonts w:ascii="Times New Roman" w:hAnsi="Times New Roman" w:cs="Times New Roman"/>
          <w:sz w:val="24"/>
          <w:szCs w:val="24"/>
          <w:lang w:val="en-US"/>
        </w:rPr>
        <w:t>URL</w:t>
      </w:r>
      <w:r w:rsidRPr="00E23467">
        <w:rPr>
          <w:rFonts w:ascii="Times New Roman" w:hAnsi="Times New Roman" w:cs="Times New Roman"/>
          <w:sz w:val="24"/>
          <w:szCs w:val="24"/>
        </w:rPr>
        <w:t xml:space="preserve">: </w:t>
      </w:r>
      <w:hyperlink r:id="rId30" w:history="1">
        <w:r w:rsidRPr="00E23467">
          <w:rPr>
            <w:rStyle w:val="a5"/>
            <w:rFonts w:ascii="Times New Roman" w:hAnsi="Times New Roman" w:cs="Times New Roman"/>
            <w:color w:val="auto"/>
            <w:sz w:val="24"/>
            <w:szCs w:val="24"/>
          </w:rPr>
          <w:t>https://www.un.org/ru/climatechange/paris-agreement</w:t>
        </w:r>
      </w:hyperlink>
      <w:bookmarkEnd w:id="14"/>
      <w:r w:rsidRPr="00E23467">
        <w:rPr>
          <w:rFonts w:ascii="Times New Roman" w:hAnsi="Times New Roman" w:cs="Times New Roman"/>
          <w:sz w:val="24"/>
          <w:szCs w:val="24"/>
        </w:rPr>
        <w:t xml:space="preserve"> (дата обращения: 10.04.2026).</w:t>
      </w:r>
      <w:bookmarkEnd w:id="15"/>
    </w:p>
    <w:p w:rsidR="00507CF9" w:rsidRPr="00E23467" w:rsidRDefault="00507CF9" w:rsidP="00E23467">
      <w:pPr>
        <w:pStyle w:val="a7"/>
        <w:widowControl w:val="0"/>
        <w:numPr>
          <w:ilvl w:val="0"/>
          <w:numId w:val="20"/>
        </w:numPr>
        <w:tabs>
          <w:tab w:val="left" w:pos="1134"/>
        </w:tabs>
        <w:spacing w:after="0" w:line="240" w:lineRule="auto"/>
        <w:ind w:left="0" w:firstLine="709"/>
        <w:jc w:val="both"/>
        <w:rPr>
          <w:rFonts w:ascii="Times New Roman" w:hAnsi="Times New Roman" w:cs="Times New Roman"/>
          <w:sz w:val="24"/>
          <w:szCs w:val="24"/>
          <w:lang w:val="en-US"/>
        </w:rPr>
      </w:pPr>
      <w:bookmarkStart w:id="16" w:name="_Ref192763142"/>
      <w:r w:rsidRPr="00E23467">
        <w:rPr>
          <w:rFonts w:ascii="Times New Roman" w:hAnsi="Times New Roman" w:cs="Times New Roman"/>
          <w:sz w:val="24"/>
          <w:szCs w:val="24"/>
          <w:lang w:val="en-US"/>
        </w:rPr>
        <w:t xml:space="preserve">The European Green Deal // European Commission. – URL: </w:t>
      </w:r>
      <w:hyperlink r:id="rId31" w:history="1">
        <w:r w:rsidRPr="00E23467">
          <w:rPr>
            <w:rStyle w:val="a5"/>
            <w:rFonts w:ascii="Times New Roman" w:hAnsi="Times New Roman" w:cs="Times New Roman"/>
            <w:color w:val="auto"/>
            <w:sz w:val="24"/>
            <w:szCs w:val="24"/>
            <w:lang w:val="en-US"/>
          </w:rPr>
          <w:t>https://commission.europa.eu/strategy-and-policy/priorities-2019-2024/european-green-deal_en</w:t>
        </w:r>
      </w:hyperlink>
      <w:bookmarkEnd w:id="16"/>
      <w:r w:rsidRPr="00E23467">
        <w:rPr>
          <w:rFonts w:ascii="Times New Roman" w:hAnsi="Times New Roman" w:cs="Times New Roman"/>
          <w:sz w:val="24"/>
          <w:szCs w:val="24"/>
          <w:lang w:val="en-US"/>
        </w:rPr>
        <w:t xml:space="preserve"> (date of access: 20.04.2026).</w:t>
      </w:r>
    </w:p>
    <w:p w:rsidR="00507CF9" w:rsidRPr="00E23467" w:rsidRDefault="00507CF9" w:rsidP="00E23467">
      <w:pPr>
        <w:pStyle w:val="a7"/>
        <w:widowControl w:val="0"/>
        <w:numPr>
          <w:ilvl w:val="0"/>
          <w:numId w:val="20"/>
        </w:numPr>
        <w:tabs>
          <w:tab w:val="left" w:pos="1134"/>
        </w:tabs>
        <w:spacing w:after="0" w:line="240" w:lineRule="auto"/>
        <w:ind w:left="0" w:firstLine="709"/>
        <w:jc w:val="both"/>
        <w:rPr>
          <w:rFonts w:ascii="Times New Roman" w:hAnsi="Times New Roman" w:cs="Times New Roman"/>
          <w:sz w:val="24"/>
          <w:szCs w:val="24"/>
        </w:rPr>
      </w:pPr>
      <w:bookmarkStart w:id="17" w:name="_Ref192025160"/>
      <w:bookmarkStart w:id="18" w:name="_Ref195534164"/>
      <w:r w:rsidRPr="00E23467">
        <w:rPr>
          <w:rFonts w:ascii="Times New Roman" w:hAnsi="Times New Roman" w:cs="Times New Roman"/>
          <w:sz w:val="24"/>
          <w:szCs w:val="24"/>
        </w:rPr>
        <w:t xml:space="preserve">Экологические евростандарты топлива // Топливная компания Балтика – </w:t>
      </w:r>
      <w:r w:rsidRPr="00E23467">
        <w:rPr>
          <w:rFonts w:ascii="Times New Roman" w:hAnsi="Times New Roman" w:cs="Times New Roman"/>
          <w:sz w:val="24"/>
          <w:szCs w:val="24"/>
          <w:lang w:val="en-US"/>
        </w:rPr>
        <w:t>URL</w:t>
      </w:r>
      <w:r w:rsidRPr="00E23467">
        <w:rPr>
          <w:rFonts w:ascii="Times New Roman" w:hAnsi="Times New Roman" w:cs="Times New Roman"/>
          <w:sz w:val="24"/>
          <w:szCs w:val="24"/>
        </w:rPr>
        <w:t xml:space="preserve">: </w:t>
      </w:r>
      <w:hyperlink r:id="rId32" w:history="1">
        <w:r w:rsidRPr="00E23467">
          <w:rPr>
            <w:rStyle w:val="a5"/>
            <w:rFonts w:ascii="Times New Roman" w:hAnsi="Times New Roman" w:cs="Times New Roman"/>
            <w:color w:val="auto"/>
            <w:sz w:val="24"/>
            <w:szCs w:val="24"/>
            <w:lang w:val="en-US"/>
          </w:rPr>
          <w:t>https</w:t>
        </w:r>
        <w:r w:rsidRPr="00E23467">
          <w:rPr>
            <w:rStyle w:val="a5"/>
            <w:rFonts w:ascii="Times New Roman" w:hAnsi="Times New Roman" w:cs="Times New Roman"/>
            <w:color w:val="auto"/>
            <w:sz w:val="24"/>
            <w:szCs w:val="24"/>
          </w:rPr>
          <w:t>://</w:t>
        </w:r>
        <w:r w:rsidRPr="00E23467">
          <w:rPr>
            <w:rStyle w:val="a5"/>
            <w:rFonts w:ascii="Times New Roman" w:hAnsi="Times New Roman" w:cs="Times New Roman"/>
            <w:color w:val="auto"/>
            <w:sz w:val="24"/>
            <w:szCs w:val="24"/>
            <w:lang w:val="en-US"/>
          </w:rPr>
          <w:t>www</w:t>
        </w:r>
        <w:r w:rsidRPr="00E23467">
          <w:rPr>
            <w:rStyle w:val="a5"/>
            <w:rFonts w:ascii="Times New Roman" w:hAnsi="Times New Roman" w:cs="Times New Roman"/>
            <w:color w:val="auto"/>
            <w:sz w:val="24"/>
            <w:szCs w:val="24"/>
          </w:rPr>
          <w:t>.</w:t>
        </w:r>
        <w:r w:rsidRPr="00E23467">
          <w:rPr>
            <w:rStyle w:val="a5"/>
            <w:rFonts w:ascii="Times New Roman" w:hAnsi="Times New Roman" w:cs="Times New Roman"/>
            <w:color w:val="auto"/>
            <w:sz w:val="24"/>
            <w:szCs w:val="24"/>
            <w:lang w:val="en-US"/>
          </w:rPr>
          <w:t>tkbaltika</w:t>
        </w:r>
        <w:r w:rsidRPr="00E23467">
          <w:rPr>
            <w:rStyle w:val="a5"/>
            <w:rFonts w:ascii="Times New Roman" w:hAnsi="Times New Roman" w:cs="Times New Roman"/>
            <w:color w:val="auto"/>
            <w:sz w:val="24"/>
            <w:szCs w:val="24"/>
          </w:rPr>
          <w:t>.</w:t>
        </w:r>
        <w:r w:rsidRPr="00E23467">
          <w:rPr>
            <w:rStyle w:val="a5"/>
            <w:rFonts w:ascii="Times New Roman" w:hAnsi="Times New Roman" w:cs="Times New Roman"/>
            <w:color w:val="auto"/>
            <w:sz w:val="24"/>
            <w:szCs w:val="24"/>
            <w:lang w:val="en-US"/>
          </w:rPr>
          <w:t>ru</w:t>
        </w:r>
        <w:r w:rsidRPr="00E23467">
          <w:rPr>
            <w:rStyle w:val="a5"/>
            <w:rFonts w:ascii="Times New Roman" w:hAnsi="Times New Roman" w:cs="Times New Roman"/>
            <w:color w:val="auto"/>
            <w:sz w:val="24"/>
            <w:szCs w:val="24"/>
          </w:rPr>
          <w:t>/</w:t>
        </w:r>
        <w:r w:rsidRPr="00E23467">
          <w:rPr>
            <w:rStyle w:val="a5"/>
            <w:rFonts w:ascii="Times New Roman" w:hAnsi="Times New Roman" w:cs="Times New Roman"/>
            <w:color w:val="auto"/>
            <w:sz w:val="24"/>
            <w:szCs w:val="24"/>
            <w:lang w:val="en-US"/>
          </w:rPr>
          <w:t>blog</w:t>
        </w:r>
        <w:r w:rsidRPr="00E23467">
          <w:rPr>
            <w:rStyle w:val="a5"/>
            <w:rFonts w:ascii="Times New Roman" w:hAnsi="Times New Roman" w:cs="Times New Roman"/>
            <w:color w:val="auto"/>
            <w:sz w:val="24"/>
            <w:szCs w:val="24"/>
          </w:rPr>
          <w:t>/</w:t>
        </w:r>
        <w:r w:rsidRPr="00E23467">
          <w:rPr>
            <w:rStyle w:val="a5"/>
            <w:rFonts w:ascii="Times New Roman" w:hAnsi="Times New Roman" w:cs="Times New Roman"/>
            <w:color w:val="auto"/>
            <w:sz w:val="24"/>
            <w:szCs w:val="24"/>
            <w:lang w:val="en-US"/>
          </w:rPr>
          <w:t>ekologicheskie</w:t>
        </w:r>
        <w:r w:rsidRPr="00E23467">
          <w:rPr>
            <w:rStyle w:val="a5"/>
            <w:rFonts w:ascii="Times New Roman" w:hAnsi="Times New Roman" w:cs="Times New Roman"/>
            <w:color w:val="auto"/>
            <w:sz w:val="24"/>
            <w:szCs w:val="24"/>
          </w:rPr>
          <w:t>-</w:t>
        </w:r>
        <w:r w:rsidRPr="00E23467">
          <w:rPr>
            <w:rStyle w:val="a5"/>
            <w:rFonts w:ascii="Times New Roman" w:hAnsi="Times New Roman" w:cs="Times New Roman"/>
            <w:color w:val="auto"/>
            <w:sz w:val="24"/>
            <w:szCs w:val="24"/>
            <w:lang w:val="en-US"/>
          </w:rPr>
          <w:t>evrostandarty</w:t>
        </w:r>
        <w:r w:rsidRPr="00E23467">
          <w:rPr>
            <w:rStyle w:val="a5"/>
            <w:rFonts w:ascii="Times New Roman" w:hAnsi="Times New Roman" w:cs="Times New Roman"/>
            <w:color w:val="auto"/>
            <w:sz w:val="24"/>
            <w:szCs w:val="24"/>
          </w:rPr>
          <w:t>-</w:t>
        </w:r>
        <w:r w:rsidRPr="00E23467">
          <w:rPr>
            <w:rStyle w:val="a5"/>
            <w:rFonts w:ascii="Times New Roman" w:hAnsi="Times New Roman" w:cs="Times New Roman"/>
            <w:color w:val="auto"/>
            <w:sz w:val="24"/>
            <w:szCs w:val="24"/>
            <w:lang w:val="en-US"/>
          </w:rPr>
          <w:t>topliva</w:t>
        </w:r>
        <w:r w:rsidRPr="00E23467">
          <w:rPr>
            <w:rStyle w:val="a5"/>
            <w:rFonts w:ascii="Times New Roman" w:hAnsi="Times New Roman" w:cs="Times New Roman"/>
            <w:color w:val="auto"/>
            <w:sz w:val="24"/>
            <w:szCs w:val="24"/>
          </w:rPr>
          <w:t>/</w:t>
        </w:r>
      </w:hyperlink>
      <w:bookmarkEnd w:id="17"/>
      <w:r w:rsidRPr="00E23467">
        <w:rPr>
          <w:rFonts w:ascii="Times New Roman" w:hAnsi="Times New Roman" w:cs="Times New Roman"/>
          <w:sz w:val="24"/>
          <w:szCs w:val="24"/>
        </w:rPr>
        <w:t xml:space="preserve"> (дата обращения: 20.04.2026).</w:t>
      </w:r>
      <w:bookmarkEnd w:id="18"/>
    </w:p>
    <w:p w:rsidR="00507CF9" w:rsidRPr="00E23467" w:rsidRDefault="00507CF9" w:rsidP="00E23467">
      <w:pPr>
        <w:pStyle w:val="a7"/>
        <w:widowControl w:val="0"/>
        <w:numPr>
          <w:ilvl w:val="0"/>
          <w:numId w:val="20"/>
        </w:numPr>
        <w:tabs>
          <w:tab w:val="left" w:pos="1134"/>
        </w:tabs>
        <w:spacing w:after="0" w:line="240" w:lineRule="auto"/>
        <w:ind w:left="0" w:firstLine="709"/>
        <w:jc w:val="both"/>
        <w:rPr>
          <w:rFonts w:ascii="Times New Roman" w:hAnsi="Times New Roman" w:cs="Times New Roman"/>
          <w:sz w:val="24"/>
          <w:szCs w:val="24"/>
        </w:rPr>
      </w:pPr>
      <w:bookmarkStart w:id="19" w:name="_Ref192764476"/>
      <w:r w:rsidRPr="00E23467">
        <w:rPr>
          <w:rFonts w:ascii="Times New Roman" w:hAnsi="Times New Roman" w:cs="Times New Roman"/>
          <w:sz w:val="24"/>
          <w:szCs w:val="24"/>
        </w:rPr>
        <w:t xml:space="preserve">Европейские производители грузовиков намерены отказаться от двигателей внутреннего сгорания к 2040 году // The Insider. – </w:t>
      </w:r>
      <w:r w:rsidRPr="00E23467">
        <w:rPr>
          <w:rFonts w:ascii="Times New Roman" w:hAnsi="Times New Roman" w:cs="Times New Roman"/>
          <w:sz w:val="24"/>
          <w:szCs w:val="24"/>
          <w:lang w:val="en-US"/>
        </w:rPr>
        <w:t>URL</w:t>
      </w:r>
      <w:r w:rsidRPr="00E23467">
        <w:rPr>
          <w:rFonts w:ascii="Times New Roman" w:hAnsi="Times New Roman" w:cs="Times New Roman"/>
          <w:sz w:val="24"/>
          <w:szCs w:val="24"/>
        </w:rPr>
        <w:t xml:space="preserve">: https://theins.press/news/237724 </w:t>
      </w:r>
      <w:bookmarkEnd w:id="19"/>
      <w:r w:rsidRPr="00E23467">
        <w:rPr>
          <w:rFonts w:ascii="Times New Roman" w:hAnsi="Times New Roman" w:cs="Times New Roman"/>
          <w:sz w:val="24"/>
          <w:szCs w:val="24"/>
        </w:rPr>
        <w:t>(дата обращения: 20.04.2026).</w:t>
      </w:r>
    </w:p>
    <w:p w:rsidR="00507CF9" w:rsidRPr="00E23467" w:rsidRDefault="00507CF9" w:rsidP="00E23467">
      <w:pPr>
        <w:pStyle w:val="a7"/>
        <w:widowControl w:val="0"/>
        <w:numPr>
          <w:ilvl w:val="0"/>
          <w:numId w:val="20"/>
        </w:numPr>
        <w:tabs>
          <w:tab w:val="left" w:pos="1134"/>
        </w:tabs>
        <w:spacing w:after="0" w:line="240" w:lineRule="auto"/>
        <w:ind w:left="0" w:firstLine="709"/>
        <w:jc w:val="both"/>
        <w:rPr>
          <w:rFonts w:ascii="Times New Roman" w:hAnsi="Times New Roman" w:cs="Times New Roman"/>
          <w:sz w:val="24"/>
          <w:szCs w:val="24"/>
          <w:lang w:val="en-US"/>
        </w:rPr>
      </w:pPr>
      <w:bookmarkStart w:id="20" w:name="_Ref192026100"/>
      <w:r w:rsidRPr="00E23467">
        <w:rPr>
          <w:rFonts w:ascii="Times New Roman" w:hAnsi="Times New Roman" w:cs="Times New Roman"/>
          <w:sz w:val="24"/>
          <w:szCs w:val="24"/>
          <w:lang w:val="en-US"/>
        </w:rPr>
        <w:t xml:space="preserve">Maps of environmental restrictions : [website]. – European Union, 2007–2025. – URL:   </w:t>
      </w:r>
      <w:hyperlink r:id="rId33" w:history="1">
        <w:r w:rsidRPr="00E23467">
          <w:rPr>
            <w:rStyle w:val="a5"/>
            <w:rFonts w:ascii="Times New Roman" w:hAnsi="Times New Roman" w:cs="Times New Roman"/>
            <w:color w:val="auto"/>
            <w:sz w:val="24"/>
            <w:szCs w:val="24"/>
            <w:lang w:val="en-US"/>
          </w:rPr>
          <w:t>https://urbanaccessregulations.eu/countries-mainmenu-147</w:t>
        </w:r>
      </w:hyperlink>
      <w:bookmarkEnd w:id="20"/>
      <w:r w:rsidRPr="00E23467">
        <w:rPr>
          <w:rFonts w:ascii="Times New Roman" w:hAnsi="Times New Roman" w:cs="Times New Roman"/>
          <w:sz w:val="24"/>
          <w:szCs w:val="24"/>
          <w:lang w:val="en-US"/>
        </w:rPr>
        <w:t xml:space="preserve"> (date of access: 20.04.2026).</w:t>
      </w:r>
    </w:p>
    <w:p w:rsidR="00507CF9" w:rsidRPr="00E23467" w:rsidRDefault="00507CF9" w:rsidP="00E23467">
      <w:pPr>
        <w:pStyle w:val="a7"/>
        <w:widowControl w:val="0"/>
        <w:numPr>
          <w:ilvl w:val="0"/>
          <w:numId w:val="20"/>
        </w:numPr>
        <w:tabs>
          <w:tab w:val="left" w:pos="1134"/>
        </w:tabs>
        <w:spacing w:after="0" w:line="240" w:lineRule="auto"/>
        <w:ind w:left="0" w:firstLine="709"/>
        <w:jc w:val="both"/>
        <w:rPr>
          <w:rFonts w:ascii="Times New Roman" w:hAnsi="Times New Roman" w:cs="Times New Roman"/>
          <w:sz w:val="24"/>
          <w:szCs w:val="24"/>
          <w:lang w:val="en-US"/>
        </w:rPr>
      </w:pPr>
      <w:bookmarkStart w:id="21" w:name="_Ref192769440"/>
      <w:bookmarkStart w:id="22" w:name="_Ref195535046"/>
      <w:r w:rsidRPr="00E23467">
        <w:rPr>
          <w:rFonts w:ascii="Times New Roman" w:hAnsi="Times New Roman" w:cs="Times New Roman"/>
          <w:sz w:val="24"/>
          <w:szCs w:val="24"/>
          <w:lang w:val="en-US"/>
        </w:rPr>
        <w:t xml:space="preserve">Corporate Average Fuel Economy (CAFE) Standards // U. S. Department of Transportation. – URL: </w:t>
      </w:r>
      <w:bookmarkStart w:id="23" w:name="_Ref192769633"/>
      <w:r w:rsidR="00F975FD" w:rsidRPr="00E23467">
        <w:rPr>
          <w:rFonts w:ascii="Times New Roman" w:hAnsi="Times New Roman" w:cs="Times New Roman"/>
          <w:sz w:val="24"/>
          <w:szCs w:val="24"/>
          <w:lang w:val="en-US"/>
        </w:rPr>
        <w:fldChar w:fldCharType="begin"/>
      </w:r>
      <w:r w:rsidRPr="00E23467">
        <w:rPr>
          <w:rFonts w:ascii="Times New Roman" w:hAnsi="Times New Roman" w:cs="Times New Roman"/>
          <w:sz w:val="24"/>
          <w:szCs w:val="24"/>
          <w:lang w:val="en-US"/>
        </w:rPr>
        <w:instrText>HYPERLINK "https://www.transportation.gov/mission/sustainability/corporate-average-fuel-economy-cafe-standards"</w:instrText>
      </w:r>
      <w:r w:rsidR="00F975FD" w:rsidRPr="00E23467">
        <w:rPr>
          <w:rFonts w:ascii="Times New Roman" w:hAnsi="Times New Roman" w:cs="Times New Roman"/>
          <w:sz w:val="24"/>
          <w:szCs w:val="24"/>
          <w:lang w:val="en-US"/>
        </w:rPr>
        <w:fldChar w:fldCharType="separate"/>
      </w:r>
      <w:r w:rsidRPr="00E23467">
        <w:rPr>
          <w:rStyle w:val="a5"/>
          <w:rFonts w:ascii="Times New Roman" w:hAnsi="Times New Roman" w:cs="Times New Roman"/>
          <w:color w:val="auto"/>
          <w:sz w:val="24"/>
          <w:szCs w:val="24"/>
          <w:lang w:val="en-US"/>
        </w:rPr>
        <w:t>https://www.transportation.gov/mission/sustainability/corporate-average-fuel-economy-cafe-standards</w:t>
      </w:r>
      <w:bookmarkEnd w:id="23"/>
      <w:r w:rsidR="00F975FD" w:rsidRPr="00E23467">
        <w:rPr>
          <w:rFonts w:ascii="Times New Roman" w:hAnsi="Times New Roman" w:cs="Times New Roman"/>
          <w:sz w:val="24"/>
          <w:szCs w:val="24"/>
          <w:lang w:val="en-US"/>
        </w:rPr>
        <w:fldChar w:fldCharType="end"/>
      </w:r>
      <w:bookmarkEnd w:id="21"/>
      <w:r w:rsidRPr="00E23467">
        <w:rPr>
          <w:rFonts w:ascii="Times New Roman" w:hAnsi="Times New Roman" w:cs="Times New Roman"/>
          <w:sz w:val="24"/>
          <w:szCs w:val="24"/>
          <w:lang w:val="en-US"/>
        </w:rPr>
        <w:t xml:space="preserve"> (date of access: 20.04.2026).</w:t>
      </w:r>
      <w:bookmarkEnd w:id="22"/>
    </w:p>
    <w:p w:rsidR="00507CF9" w:rsidRPr="00E23467" w:rsidRDefault="00507CF9" w:rsidP="00E23467">
      <w:pPr>
        <w:pStyle w:val="a7"/>
        <w:widowControl w:val="0"/>
        <w:numPr>
          <w:ilvl w:val="0"/>
          <w:numId w:val="20"/>
        </w:numPr>
        <w:tabs>
          <w:tab w:val="left" w:pos="1134"/>
        </w:tabs>
        <w:spacing w:after="0" w:line="240" w:lineRule="auto"/>
        <w:ind w:left="0" w:firstLine="709"/>
        <w:jc w:val="both"/>
        <w:rPr>
          <w:rFonts w:ascii="Times New Roman" w:hAnsi="Times New Roman" w:cs="Times New Roman"/>
          <w:sz w:val="24"/>
          <w:szCs w:val="24"/>
        </w:rPr>
      </w:pPr>
      <w:bookmarkStart w:id="24" w:name="_Ref192769834"/>
      <w:bookmarkStart w:id="25" w:name="_Ref195536468"/>
      <w:r w:rsidRPr="00E23467">
        <w:rPr>
          <w:rFonts w:ascii="Times New Roman" w:hAnsi="Times New Roman" w:cs="Times New Roman"/>
          <w:sz w:val="24"/>
          <w:szCs w:val="24"/>
        </w:rPr>
        <w:t xml:space="preserve">Что такое устойчивый транспорт? // ООН. – </w:t>
      </w:r>
      <w:r w:rsidRPr="00E23467">
        <w:rPr>
          <w:rFonts w:ascii="Times New Roman" w:hAnsi="Times New Roman" w:cs="Times New Roman"/>
          <w:sz w:val="24"/>
          <w:szCs w:val="24"/>
          <w:lang w:val="en-US"/>
        </w:rPr>
        <w:t>URL</w:t>
      </w:r>
      <w:r w:rsidRPr="00E23467">
        <w:rPr>
          <w:rFonts w:ascii="Times New Roman" w:hAnsi="Times New Roman" w:cs="Times New Roman"/>
          <w:sz w:val="24"/>
          <w:szCs w:val="24"/>
        </w:rPr>
        <w:t xml:space="preserve">: </w:t>
      </w:r>
      <w:hyperlink r:id="rId34" w:history="1">
        <w:r w:rsidRPr="00E23467">
          <w:rPr>
            <w:rStyle w:val="a5"/>
            <w:rFonts w:ascii="Times New Roman" w:hAnsi="Times New Roman" w:cs="Times New Roman"/>
            <w:color w:val="auto"/>
            <w:sz w:val="24"/>
            <w:szCs w:val="24"/>
            <w:lang w:val="en-US"/>
          </w:rPr>
          <w:t>https</w:t>
        </w:r>
        <w:r w:rsidRPr="00E23467">
          <w:rPr>
            <w:rStyle w:val="a5"/>
            <w:rFonts w:ascii="Times New Roman" w:hAnsi="Times New Roman" w:cs="Times New Roman"/>
            <w:color w:val="auto"/>
            <w:sz w:val="24"/>
            <w:szCs w:val="24"/>
          </w:rPr>
          <w:t>://</w:t>
        </w:r>
        <w:r w:rsidRPr="00E23467">
          <w:rPr>
            <w:rStyle w:val="a5"/>
            <w:rFonts w:ascii="Times New Roman" w:hAnsi="Times New Roman" w:cs="Times New Roman"/>
            <w:color w:val="auto"/>
            <w:sz w:val="24"/>
            <w:szCs w:val="24"/>
            <w:lang w:val="en-US"/>
          </w:rPr>
          <w:t>www</w:t>
        </w:r>
        <w:r w:rsidRPr="00E23467">
          <w:rPr>
            <w:rStyle w:val="a5"/>
            <w:rFonts w:ascii="Times New Roman" w:hAnsi="Times New Roman" w:cs="Times New Roman"/>
            <w:color w:val="auto"/>
            <w:sz w:val="24"/>
            <w:szCs w:val="24"/>
          </w:rPr>
          <w:t>.</w:t>
        </w:r>
        <w:r w:rsidRPr="00E23467">
          <w:rPr>
            <w:rStyle w:val="a5"/>
            <w:rFonts w:ascii="Times New Roman" w:hAnsi="Times New Roman" w:cs="Times New Roman"/>
            <w:color w:val="auto"/>
            <w:sz w:val="24"/>
            <w:szCs w:val="24"/>
            <w:lang w:val="en-US"/>
          </w:rPr>
          <w:t>un</w:t>
        </w:r>
        <w:r w:rsidRPr="00E23467">
          <w:rPr>
            <w:rStyle w:val="a5"/>
            <w:rFonts w:ascii="Times New Roman" w:hAnsi="Times New Roman" w:cs="Times New Roman"/>
            <w:color w:val="auto"/>
            <w:sz w:val="24"/>
            <w:szCs w:val="24"/>
          </w:rPr>
          <w:t>.</w:t>
        </w:r>
        <w:r w:rsidRPr="00E23467">
          <w:rPr>
            <w:rStyle w:val="a5"/>
            <w:rFonts w:ascii="Times New Roman" w:hAnsi="Times New Roman" w:cs="Times New Roman"/>
            <w:color w:val="auto"/>
            <w:sz w:val="24"/>
            <w:szCs w:val="24"/>
            <w:lang w:val="en-US"/>
          </w:rPr>
          <w:t>org</w:t>
        </w:r>
        <w:r w:rsidRPr="00E23467">
          <w:rPr>
            <w:rStyle w:val="a5"/>
            <w:rFonts w:ascii="Times New Roman" w:hAnsi="Times New Roman" w:cs="Times New Roman"/>
            <w:color w:val="auto"/>
            <w:sz w:val="24"/>
            <w:szCs w:val="24"/>
          </w:rPr>
          <w:t>/</w:t>
        </w:r>
        <w:r w:rsidRPr="00E23467">
          <w:rPr>
            <w:rStyle w:val="a5"/>
            <w:rFonts w:ascii="Times New Roman" w:hAnsi="Times New Roman" w:cs="Times New Roman"/>
            <w:color w:val="auto"/>
            <w:sz w:val="24"/>
            <w:szCs w:val="24"/>
            <w:lang w:val="en-US"/>
          </w:rPr>
          <w:t>ru</w:t>
        </w:r>
        <w:r w:rsidRPr="00E23467">
          <w:rPr>
            <w:rStyle w:val="a5"/>
            <w:rFonts w:ascii="Times New Roman" w:hAnsi="Times New Roman" w:cs="Times New Roman"/>
            <w:color w:val="auto"/>
            <w:sz w:val="24"/>
            <w:szCs w:val="24"/>
          </w:rPr>
          <w:t>/</w:t>
        </w:r>
        <w:r w:rsidRPr="00E23467">
          <w:rPr>
            <w:rStyle w:val="a5"/>
            <w:rFonts w:ascii="Times New Roman" w:hAnsi="Times New Roman" w:cs="Times New Roman"/>
            <w:color w:val="auto"/>
            <w:sz w:val="24"/>
            <w:szCs w:val="24"/>
            <w:lang w:val="en-US"/>
          </w:rPr>
          <w:t>observances</w:t>
        </w:r>
        <w:r w:rsidRPr="00E23467">
          <w:rPr>
            <w:rStyle w:val="a5"/>
            <w:rFonts w:ascii="Times New Roman" w:hAnsi="Times New Roman" w:cs="Times New Roman"/>
            <w:color w:val="auto"/>
            <w:sz w:val="24"/>
            <w:szCs w:val="24"/>
          </w:rPr>
          <w:t>/</w:t>
        </w:r>
        <w:r w:rsidRPr="00E23467">
          <w:rPr>
            <w:rStyle w:val="a5"/>
            <w:rFonts w:ascii="Times New Roman" w:hAnsi="Times New Roman" w:cs="Times New Roman"/>
            <w:color w:val="auto"/>
            <w:sz w:val="24"/>
            <w:szCs w:val="24"/>
            <w:lang w:val="en-US"/>
          </w:rPr>
          <w:t>sustainable</w:t>
        </w:r>
        <w:r w:rsidRPr="00E23467">
          <w:rPr>
            <w:rStyle w:val="a5"/>
            <w:rFonts w:ascii="Times New Roman" w:hAnsi="Times New Roman" w:cs="Times New Roman"/>
            <w:color w:val="auto"/>
            <w:sz w:val="24"/>
            <w:szCs w:val="24"/>
          </w:rPr>
          <w:t>-</w:t>
        </w:r>
        <w:r w:rsidRPr="00E23467">
          <w:rPr>
            <w:rStyle w:val="a5"/>
            <w:rFonts w:ascii="Times New Roman" w:hAnsi="Times New Roman" w:cs="Times New Roman"/>
            <w:color w:val="auto"/>
            <w:sz w:val="24"/>
            <w:szCs w:val="24"/>
            <w:lang w:val="en-US"/>
          </w:rPr>
          <w:t>transport</w:t>
        </w:r>
        <w:r w:rsidRPr="00E23467">
          <w:rPr>
            <w:rStyle w:val="a5"/>
            <w:rFonts w:ascii="Times New Roman" w:hAnsi="Times New Roman" w:cs="Times New Roman"/>
            <w:color w:val="auto"/>
            <w:sz w:val="24"/>
            <w:szCs w:val="24"/>
          </w:rPr>
          <w:t>-</w:t>
        </w:r>
        <w:r w:rsidRPr="00E23467">
          <w:rPr>
            <w:rStyle w:val="a5"/>
            <w:rFonts w:ascii="Times New Roman" w:hAnsi="Times New Roman" w:cs="Times New Roman"/>
            <w:color w:val="auto"/>
            <w:sz w:val="24"/>
            <w:szCs w:val="24"/>
            <w:lang w:val="en-US"/>
          </w:rPr>
          <w:t>day</w:t>
        </w:r>
      </w:hyperlink>
      <w:bookmarkEnd w:id="24"/>
      <w:r w:rsidRPr="00E23467">
        <w:rPr>
          <w:rFonts w:ascii="Times New Roman" w:hAnsi="Times New Roman" w:cs="Times New Roman"/>
          <w:sz w:val="24"/>
          <w:szCs w:val="24"/>
        </w:rPr>
        <w:t xml:space="preserve"> (дата обращения: 20.04.2026).</w:t>
      </w:r>
      <w:bookmarkEnd w:id="25"/>
    </w:p>
    <w:p w:rsidR="00507CF9" w:rsidRPr="00E23467" w:rsidRDefault="00507CF9" w:rsidP="00E23467">
      <w:pPr>
        <w:pStyle w:val="a7"/>
        <w:widowControl w:val="0"/>
        <w:numPr>
          <w:ilvl w:val="0"/>
          <w:numId w:val="20"/>
        </w:numPr>
        <w:tabs>
          <w:tab w:val="left" w:pos="567"/>
          <w:tab w:val="left" w:pos="1134"/>
        </w:tabs>
        <w:spacing w:after="0" w:line="240" w:lineRule="auto"/>
        <w:ind w:left="0" w:firstLine="709"/>
        <w:jc w:val="both"/>
        <w:rPr>
          <w:rFonts w:ascii="Times New Roman" w:hAnsi="Times New Roman" w:cs="Times New Roman"/>
          <w:sz w:val="24"/>
          <w:szCs w:val="24"/>
        </w:rPr>
      </w:pPr>
      <w:bookmarkStart w:id="26" w:name="_Ref192981404"/>
      <w:bookmarkStart w:id="27" w:name="_Ref195527812"/>
      <w:r w:rsidRPr="00E23467">
        <w:rPr>
          <w:rFonts w:ascii="Times New Roman" w:hAnsi="Times New Roman" w:cs="Times New Roman"/>
          <w:sz w:val="24"/>
          <w:szCs w:val="24"/>
        </w:rPr>
        <w:t>Бабаян, Г. В. Технологические и экономические аспекты быстрой зарядки электромобилей: сравнительный анализ США и ЕС / Г. В. Бабаян // Экономика и бизнес: теория и практика. – 2024. – № 11–1 (117). – С. 43–61</w:t>
      </w:r>
      <w:bookmarkEnd w:id="26"/>
      <w:r w:rsidRPr="00E23467">
        <w:rPr>
          <w:rFonts w:ascii="Times New Roman" w:hAnsi="Times New Roman" w:cs="Times New Roman"/>
          <w:sz w:val="24"/>
          <w:szCs w:val="24"/>
        </w:rPr>
        <w:t>.</w:t>
      </w:r>
      <w:bookmarkEnd w:id="27"/>
      <w:r w:rsidRPr="00E23467">
        <w:rPr>
          <w:rFonts w:ascii="Times New Roman" w:hAnsi="Times New Roman" w:cs="Times New Roman"/>
          <w:sz w:val="24"/>
          <w:szCs w:val="24"/>
        </w:rPr>
        <w:t xml:space="preserve"> </w:t>
      </w:r>
    </w:p>
    <w:p w:rsidR="00E23467" w:rsidRDefault="00E23467" w:rsidP="00507CF9">
      <w:pPr>
        <w:pStyle w:val="4"/>
        <w:spacing w:before="0" w:after="0"/>
        <w:ind w:firstLine="709"/>
        <w:jc w:val="both"/>
        <w:rPr>
          <w:rFonts w:ascii="Times New Roman" w:hAnsi="Times New Roman" w:cs="Times New Roman"/>
          <w:b w:val="0"/>
          <w:sz w:val="28"/>
          <w:szCs w:val="28"/>
        </w:rPr>
      </w:pPr>
    </w:p>
    <w:p w:rsidR="00507CF9" w:rsidRPr="00B644BF" w:rsidRDefault="00507CF9" w:rsidP="00E23467">
      <w:pPr>
        <w:pStyle w:val="4"/>
        <w:spacing w:before="0" w:after="0" w:line="240" w:lineRule="auto"/>
        <w:ind w:firstLine="709"/>
        <w:jc w:val="both"/>
        <w:rPr>
          <w:rFonts w:ascii="Times New Roman" w:hAnsi="Times New Roman" w:cs="Times New Roman"/>
          <w:b w:val="0"/>
          <w:i/>
          <w:sz w:val="28"/>
          <w:szCs w:val="28"/>
        </w:rPr>
      </w:pPr>
      <w:r w:rsidRPr="00B644BF">
        <w:rPr>
          <w:rFonts w:ascii="Times New Roman" w:hAnsi="Times New Roman" w:cs="Times New Roman"/>
          <w:b w:val="0"/>
          <w:sz w:val="28"/>
          <w:szCs w:val="28"/>
        </w:rPr>
        <w:t xml:space="preserve">УДК 330.342:658.15 </w:t>
      </w:r>
    </w:p>
    <w:p w:rsidR="00507CF9" w:rsidRDefault="00507CF9" w:rsidP="00E23467">
      <w:pPr>
        <w:shd w:val="clear" w:color="auto" w:fill="FFFFFF"/>
        <w:spacing w:after="0" w:line="240" w:lineRule="auto"/>
        <w:ind w:firstLine="709"/>
        <w:jc w:val="center"/>
        <w:outlineLvl w:val="1"/>
        <w:rPr>
          <w:rFonts w:ascii="Times New Roman" w:eastAsia="Times New Roman" w:hAnsi="Times New Roman" w:cs="Times New Roman"/>
          <w:b/>
          <w:bCs/>
          <w:sz w:val="28"/>
          <w:szCs w:val="28"/>
        </w:rPr>
      </w:pPr>
      <w:r w:rsidRPr="00E23467">
        <w:rPr>
          <w:rFonts w:ascii="Times New Roman" w:eastAsia="Times New Roman" w:hAnsi="Times New Roman" w:cs="Times New Roman"/>
          <w:b/>
          <w:bCs/>
          <w:sz w:val="28"/>
          <w:szCs w:val="28"/>
        </w:rPr>
        <w:t>МЕТОДОЛОГИЯ И МАТЕМАТИЧЕСКОЕ МОДЕЛИРОВАНИЕ СБЫТОВЫХ РИСКОВ В ИНВЕСТИЦИОННОМ ПРОЕКТИРОВАНИИ</w:t>
      </w:r>
    </w:p>
    <w:p w:rsidR="00E23467" w:rsidRPr="00E23467" w:rsidRDefault="00E23467" w:rsidP="00E23467">
      <w:pPr>
        <w:shd w:val="clear" w:color="auto" w:fill="FFFFFF"/>
        <w:spacing w:after="0" w:line="240" w:lineRule="auto"/>
        <w:ind w:firstLine="709"/>
        <w:jc w:val="center"/>
        <w:outlineLvl w:val="1"/>
        <w:rPr>
          <w:rFonts w:ascii="Times New Roman" w:eastAsia="Times New Roman" w:hAnsi="Times New Roman" w:cs="Times New Roman"/>
          <w:b/>
          <w:bCs/>
          <w:sz w:val="28"/>
          <w:szCs w:val="28"/>
        </w:rPr>
      </w:pPr>
    </w:p>
    <w:p w:rsidR="00507CF9" w:rsidRPr="00B644BF" w:rsidRDefault="00507CF9" w:rsidP="00E23467">
      <w:pPr>
        <w:spacing w:after="0" w:line="240" w:lineRule="auto"/>
        <w:ind w:firstLine="709"/>
        <w:jc w:val="center"/>
        <w:rPr>
          <w:rFonts w:ascii="Times New Roman" w:hAnsi="Times New Roman" w:cs="Times New Roman"/>
          <w:b/>
          <w:sz w:val="28"/>
          <w:szCs w:val="28"/>
        </w:rPr>
      </w:pPr>
      <w:r w:rsidRPr="00B644BF">
        <w:rPr>
          <w:rFonts w:ascii="Times New Roman" w:hAnsi="Times New Roman" w:cs="Times New Roman"/>
          <w:b/>
          <w:bCs/>
          <w:sz w:val="28"/>
          <w:szCs w:val="28"/>
        </w:rPr>
        <w:t xml:space="preserve"> </w:t>
      </w:r>
      <w:r w:rsidRPr="00B644BF">
        <w:rPr>
          <w:rFonts w:ascii="Times New Roman" w:hAnsi="Times New Roman" w:cs="Times New Roman"/>
          <w:b/>
          <w:sz w:val="28"/>
          <w:szCs w:val="28"/>
        </w:rPr>
        <w:t>Чегерова Татьяна Ивановна</w:t>
      </w:r>
    </w:p>
    <w:p w:rsidR="00507CF9" w:rsidRPr="00B644BF" w:rsidRDefault="00507CF9" w:rsidP="00E23467">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доцент кафедры экономики и управления</w:t>
      </w:r>
    </w:p>
    <w:p w:rsidR="00507CF9" w:rsidRPr="00B644BF" w:rsidRDefault="00507CF9" w:rsidP="00E23467">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учреждения образования «Могилевский государственный университет</w:t>
      </w:r>
    </w:p>
    <w:p w:rsidR="00507CF9" w:rsidRPr="00B644BF" w:rsidRDefault="00507CF9" w:rsidP="00E23467">
      <w:pPr>
        <w:spacing w:after="0" w:line="240" w:lineRule="auto"/>
        <w:ind w:firstLine="709"/>
        <w:jc w:val="center"/>
        <w:rPr>
          <w:rFonts w:ascii="Times New Roman" w:hAnsi="Times New Roman" w:cs="Times New Roman"/>
          <w:sz w:val="28"/>
          <w:szCs w:val="28"/>
          <w:lang w:val="be-BY"/>
        </w:rPr>
      </w:pPr>
      <w:r w:rsidRPr="00B644BF">
        <w:rPr>
          <w:rFonts w:ascii="Times New Roman" w:hAnsi="Times New Roman" w:cs="Times New Roman"/>
          <w:sz w:val="28"/>
          <w:szCs w:val="28"/>
        </w:rPr>
        <w:t>имени А.А. Кулешова»; кандидат технических наук, доцент</w:t>
      </w:r>
    </w:p>
    <w:p w:rsidR="00507CF9" w:rsidRPr="00B644BF" w:rsidRDefault="00507CF9" w:rsidP="00E23467">
      <w:pPr>
        <w:widowControl w:val="0"/>
        <w:tabs>
          <w:tab w:val="left" w:pos="7200"/>
        </w:tabs>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(г. Могилев, Беларусь)</w:t>
      </w:r>
    </w:p>
    <w:p w:rsidR="00507CF9" w:rsidRPr="00B644BF" w:rsidRDefault="00507CF9" w:rsidP="00E23467">
      <w:pPr>
        <w:widowControl w:val="0"/>
        <w:tabs>
          <w:tab w:val="left" w:pos="7200"/>
        </w:tabs>
        <w:spacing w:after="0" w:line="240" w:lineRule="auto"/>
        <w:ind w:firstLine="709"/>
        <w:jc w:val="center"/>
        <w:rPr>
          <w:rFonts w:ascii="Times New Roman" w:hAnsi="Times New Roman" w:cs="Times New Roman"/>
          <w:sz w:val="24"/>
          <w:szCs w:val="24"/>
        </w:rPr>
      </w:pPr>
    </w:p>
    <w:p w:rsidR="00507CF9" w:rsidRPr="00E23467" w:rsidRDefault="00507CF9" w:rsidP="00E23467">
      <w:pPr>
        <w:shd w:val="clear" w:color="auto" w:fill="FFFFFF"/>
        <w:spacing w:after="0" w:line="240" w:lineRule="auto"/>
        <w:ind w:firstLine="709"/>
        <w:jc w:val="both"/>
        <w:rPr>
          <w:rFonts w:ascii="Times New Roman" w:eastAsia="Times New Roman" w:hAnsi="Times New Roman" w:cs="Times New Roman"/>
          <w:iCs/>
          <w:sz w:val="24"/>
          <w:szCs w:val="24"/>
        </w:rPr>
      </w:pPr>
      <w:r w:rsidRPr="00B644BF">
        <w:rPr>
          <w:rFonts w:ascii="Times New Roman" w:eastAsia="Times New Roman" w:hAnsi="Times New Roman" w:cs="Times New Roman"/>
          <w:b/>
          <w:iCs/>
          <w:sz w:val="24"/>
          <w:szCs w:val="24"/>
        </w:rPr>
        <w:t>Аннотация.</w:t>
      </w:r>
      <w:r w:rsidRPr="00B644BF">
        <w:rPr>
          <w:rFonts w:ascii="Times New Roman" w:eastAsia="Times New Roman" w:hAnsi="Times New Roman" w:cs="Times New Roman"/>
          <w:i/>
          <w:iCs/>
          <w:sz w:val="24"/>
          <w:szCs w:val="24"/>
        </w:rPr>
        <w:t xml:space="preserve"> </w:t>
      </w:r>
      <w:r w:rsidRPr="00E23467">
        <w:rPr>
          <w:rFonts w:ascii="Times New Roman" w:eastAsia="Times New Roman" w:hAnsi="Times New Roman" w:cs="Times New Roman"/>
          <w:iCs/>
          <w:sz w:val="24"/>
          <w:szCs w:val="24"/>
        </w:rPr>
        <w:t xml:space="preserve">В статье рассматривается методология количественной оценки сбытовых рисков в долгосрочных инвестиционных проектах на основе стохастических подходов. Предложен трехуровневый анализ, включающий идентификацию факторов, вероятностную формализацию параметров и интеграцию в финансовую модель. </w:t>
      </w:r>
    </w:p>
    <w:p w:rsidR="00507CF9" w:rsidRPr="00E23467" w:rsidRDefault="00507CF9" w:rsidP="00E23467">
      <w:pPr>
        <w:shd w:val="clear" w:color="auto" w:fill="FFFFFF"/>
        <w:spacing w:after="0" w:line="240" w:lineRule="auto"/>
        <w:ind w:firstLine="709"/>
        <w:jc w:val="both"/>
        <w:rPr>
          <w:rFonts w:ascii="Times New Roman" w:eastAsia="Times New Roman" w:hAnsi="Times New Roman" w:cs="Times New Roman"/>
          <w:iCs/>
          <w:sz w:val="24"/>
          <w:szCs w:val="24"/>
        </w:rPr>
      </w:pPr>
      <w:r w:rsidRPr="00B644BF">
        <w:rPr>
          <w:rFonts w:ascii="Times New Roman" w:eastAsia="Times New Roman" w:hAnsi="Times New Roman" w:cs="Times New Roman"/>
          <w:b/>
          <w:iCs/>
          <w:sz w:val="24"/>
          <w:szCs w:val="24"/>
        </w:rPr>
        <w:lastRenderedPageBreak/>
        <w:t>Ключевые слова</w:t>
      </w:r>
      <w:r w:rsidR="00E23467">
        <w:rPr>
          <w:rFonts w:ascii="Times New Roman" w:eastAsia="Times New Roman" w:hAnsi="Times New Roman" w:cs="Times New Roman"/>
          <w:b/>
          <w:iCs/>
          <w:sz w:val="24"/>
          <w:szCs w:val="24"/>
        </w:rPr>
        <w:t>.</w:t>
      </w:r>
      <w:r w:rsidRPr="00B644BF">
        <w:rPr>
          <w:rFonts w:ascii="Times New Roman" w:eastAsia="Times New Roman" w:hAnsi="Times New Roman" w:cs="Times New Roman"/>
          <w:i/>
          <w:iCs/>
          <w:sz w:val="24"/>
          <w:szCs w:val="24"/>
        </w:rPr>
        <w:t xml:space="preserve"> </w:t>
      </w:r>
      <w:r w:rsidR="00E23467">
        <w:rPr>
          <w:rFonts w:ascii="Times New Roman" w:eastAsia="Times New Roman" w:hAnsi="Times New Roman" w:cs="Times New Roman"/>
          <w:iCs/>
          <w:sz w:val="24"/>
          <w:szCs w:val="24"/>
        </w:rPr>
        <w:t>С</w:t>
      </w:r>
      <w:r w:rsidRPr="00E23467">
        <w:rPr>
          <w:rFonts w:ascii="Times New Roman" w:eastAsia="Times New Roman" w:hAnsi="Times New Roman" w:cs="Times New Roman"/>
          <w:iCs/>
          <w:sz w:val="24"/>
          <w:szCs w:val="24"/>
        </w:rPr>
        <w:t>бытовые риски, инвестиционное проектирование, стохастическое моделирование, метод Монте-Карло, анализ чувствительности, чистая приведённая стоимость (NPV), коэффициент покрытия долга (DSCR), диверсификация, хеджирование, управление ликвидностью, бизнес-план, экспортно-ориентированный проект.</w:t>
      </w:r>
    </w:p>
    <w:p w:rsidR="00507CF9" w:rsidRPr="00B644BF" w:rsidRDefault="00507CF9" w:rsidP="00E23467">
      <w:pPr>
        <w:shd w:val="clear" w:color="auto" w:fill="FFFFFF"/>
        <w:spacing w:after="0" w:line="240" w:lineRule="auto"/>
        <w:ind w:firstLine="709"/>
        <w:jc w:val="both"/>
        <w:rPr>
          <w:rFonts w:ascii="Times New Roman" w:eastAsia="Times New Roman" w:hAnsi="Times New Roman" w:cs="Times New Roman"/>
          <w:i/>
          <w:iCs/>
          <w:sz w:val="24"/>
          <w:szCs w:val="24"/>
        </w:rPr>
      </w:pPr>
    </w:p>
    <w:p w:rsidR="00507CF9" w:rsidRPr="00B644BF" w:rsidRDefault="00507CF9" w:rsidP="00E23467">
      <w:pPr>
        <w:shd w:val="clear" w:color="auto" w:fill="FFFFFF"/>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i/>
          <w:iCs/>
          <w:sz w:val="28"/>
          <w:szCs w:val="28"/>
        </w:rPr>
        <w:t xml:space="preserve"> </w:t>
      </w:r>
      <w:r w:rsidRPr="00B644BF">
        <w:rPr>
          <w:rFonts w:ascii="Times New Roman" w:eastAsia="Times New Roman" w:hAnsi="Times New Roman" w:cs="Times New Roman"/>
          <w:sz w:val="28"/>
          <w:szCs w:val="28"/>
        </w:rPr>
        <w:t>В современных условиях реализация долгосрочных инвестиционных проектов требует перехода от детерминированных прогнозных моделей к стохастическим подходам, учитывающим вероятностную природу рыночной конъюнктуры. Для предприятий с высокой экспортной ориентацией, регуляторной зависимостью тарифов и волатильностью логистических цепочек устойчивость денежных потоков определяется не только производственной программой, но и степенью интеграции риск-менеджмента в финансовую модель бизнес-плана.</w:t>
      </w:r>
    </w:p>
    <w:p w:rsidR="00507CF9" w:rsidRPr="00B644BF" w:rsidRDefault="00507CF9" w:rsidP="00E23467">
      <w:pPr>
        <w:shd w:val="clear" w:color="auto" w:fill="FFFFFF"/>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rPr>
        <w:t>Сбытовой риск применительно к бизнес-планированию определяется как вероятность отклонения фактических объёмов реализации, цен или структуры спроса от плановых значений, что приводит к снижению маржинальности, нарушению графика обслуживания долга или отрицательному чистому дисконтированному доходу (ЧДД). Методология оценки включает три уровня анализа:</w:t>
      </w:r>
    </w:p>
    <w:p w:rsidR="00507CF9" w:rsidRPr="00B644BF" w:rsidRDefault="00507CF9" w:rsidP="00E23467">
      <w:pPr>
        <w:shd w:val="clear" w:color="auto" w:fill="FFFFFF"/>
        <w:spacing w:after="0" w:line="240" w:lineRule="auto"/>
        <w:ind w:firstLine="709"/>
        <w:jc w:val="both"/>
        <w:rPr>
          <w:rFonts w:ascii="Times New Roman" w:eastAsia="Times New Roman" w:hAnsi="Times New Roman" w:cs="Times New Roman"/>
          <w:sz w:val="28"/>
          <w:szCs w:val="28"/>
        </w:rPr>
      </w:pPr>
      <w:r w:rsidRPr="00E23467">
        <w:rPr>
          <w:rFonts w:ascii="Times New Roman" w:eastAsia="Times New Roman" w:hAnsi="Times New Roman" w:cs="Times New Roman"/>
          <w:bCs/>
          <w:i/>
          <w:sz w:val="28"/>
          <w:szCs w:val="28"/>
        </w:rPr>
        <w:t>Идентификация факторов</w:t>
      </w:r>
      <w:r w:rsidRPr="00E23467">
        <w:rPr>
          <w:rFonts w:ascii="Times New Roman" w:eastAsia="Times New Roman" w:hAnsi="Times New Roman" w:cs="Times New Roman"/>
          <w:i/>
          <w:sz w:val="28"/>
          <w:szCs w:val="28"/>
        </w:rPr>
        <w:t xml:space="preserve">: </w:t>
      </w:r>
      <w:r w:rsidRPr="00B644BF">
        <w:rPr>
          <w:rFonts w:ascii="Times New Roman" w:eastAsia="Times New Roman" w:hAnsi="Times New Roman" w:cs="Times New Roman"/>
          <w:sz w:val="28"/>
          <w:szCs w:val="28"/>
        </w:rPr>
        <w:t>ценовая эластичность, концентрация клиентской базы, логистическая уязвимость, валютные колебания, регуляторные барьеры.</w:t>
      </w:r>
    </w:p>
    <w:p w:rsidR="00507CF9" w:rsidRPr="00B644BF" w:rsidRDefault="00507CF9" w:rsidP="00E23467">
      <w:pPr>
        <w:shd w:val="clear" w:color="auto" w:fill="FFFFFF"/>
        <w:spacing w:after="0" w:line="240" w:lineRule="auto"/>
        <w:ind w:firstLine="709"/>
        <w:jc w:val="both"/>
        <w:rPr>
          <w:rFonts w:ascii="Times New Roman" w:eastAsia="Times New Roman" w:hAnsi="Times New Roman" w:cs="Times New Roman"/>
          <w:sz w:val="28"/>
          <w:szCs w:val="28"/>
        </w:rPr>
      </w:pPr>
      <w:r w:rsidRPr="00E23467">
        <w:rPr>
          <w:rFonts w:ascii="Times New Roman" w:eastAsia="Times New Roman" w:hAnsi="Times New Roman" w:cs="Times New Roman"/>
          <w:bCs/>
          <w:i/>
          <w:sz w:val="28"/>
          <w:szCs w:val="28"/>
        </w:rPr>
        <w:t>Количественная формализация</w:t>
      </w:r>
      <w:r w:rsidRPr="00E23467">
        <w:rPr>
          <w:rFonts w:ascii="Times New Roman" w:eastAsia="Times New Roman" w:hAnsi="Times New Roman" w:cs="Times New Roman"/>
          <w:i/>
          <w:sz w:val="28"/>
          <w:szCs w:val="28"/>
        </w:rPr>
        <w:t>:</w:t>
      </w:r>
      <w:r w:rsidRPr="00B644BF">
        <w:rPr>
          <w:rFonts w:ascii="Times New Roman" w:eastAsia="Times New Roman" w:hAnsi="Times New Roman" w:cs="Times New Roman"/>
          <w:sz w:val="28"/>
          <w:szCs w:val="28"/>
        </w:rPr>
        <w:t xml:space="preserve"> перевод качественных параметров в стохастические переменные с заданными распределениями вероятностей.</w:t>
      </w:r>
    </w:p>
    <w:p w:rsidR="00507CF9" w:rsidRPr="00B644BF" w:rsidRDefault="00507CF9" w:rsidP="00E23467">
      <w:pPr>
        <w:shd w:val="clear" w:color="auto" w:fill="FFFFFF"/>
        <w:spacing w:after="0" w:line="240" w:lineRule="auto"/>
        <w:ind w:firstLine="709"/>
        <w:jc w:val="both"/>
        <w:rPr>
          <w:rFonts w:ascii="Times New Roman" w:eastAsia="Times New Roman" w:hAnsi="Times New Roman" w:cs="Times New Roman"/>
          <w:sz w:val="28"/>
          <w:szCs w:val="28"/>
        </w:rPr>
      </w:pPr>
      <w:r w:rsidRPr="00E23467">
        <w:rPr>
          <w:rFonts w:ascii="Times New Roman" w:eastAsia="Times New Roman" w:hAnsi="Times New Roman" w:cs="Times New Roman"/>
          <w:bCs/>
          <w:i/>
          <w:sz w:val="28"/>
          <w:szCs w:val="28"/>
        </w:rPr>
        <w:t>Интеграция в финансовую модель</w:t>
      </w:r>
      <w:r w:rsidRPr="00E23467">
        <w:rPr>
          <w:rFonts w:ascii="Times New Roman" w:eastAsia="Times New Roman" w:hAnsi="Times New Roman" w:cs="Times New Roman"/>
          <w:i/>
          <w:sz w:val="28"/>
          <w:szCs w:val="28"/>
        </w:rPr>
        <w:t>:</w:t>
      </w:r>
      <w:r w:rsidRPr="00B644BF">
        <w:rPr>
          <w:rFonts w:ascii="Times New Roman" w:eastAsia="Times New Roman" w:hAnsi="Times New Roman" w:cs="Times New Roman"/>
          <w:i/>
          <w:sz w:val="28"/>
          <w:szCs w:val="28"/>
        </w:rPr>
        <w:t xml:space="preserve"> </w:t>
      </w:r>
      <w:r w:rsidRPr="00B644BF">
        <w:rPr>
          <w:rFonts w:ascii="Times New Roman" w:eastAsia="Times New Roman" w:hAnsi="Times New Roman" w:cs="Times New Roman"/>
          <w:sz w:val="28"/>
          <w:szCs w:val="28"/>
        </w:rPr>
        <w:t>трансформация детерминированного денежного потока в вероятностный процесс с последующим расчётом риск-адаптированных показателей эффективности.</w:t>
      </w:r>
    </w:p>
    <w:p w:rsidR="00507CF9" w:rsidRPr="00B644BF" w:rsidRDefault="00507CF9" w:rsidP="00E23467">
      <w:pPr>
        <w:shd w:val="clear" w:color="auto" w:fill="FFFFFF"/>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rPr>
        <w:t>В качестве примера рассмотрен инвестиционный бизнес-план предприятия с горизонтом планирования 20 лет. Основным видом деятельности предприятия является производство электроэнергии на внутренний рынок, планирующего новый вид деятельности - производство кормов и кормовых добавок для сельского хозяйства (гранулы из люцерны и свекловичного жома) преимущественно на экспорт. В результате анализа определены ключевые факторы сбытового риска.</w:t>
      </w:r>
    </w:p>
    <w:p w:rsidR="00507CF9" w:rsidRPr="00B644BF" w:rsidRDefault="00507CF9" w:rsidP="00E23467">
      <w:pPr>
        <w:shd w:val="clear" w:color="auto" w:fill="FFFFFF"/>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i/>
          <w:iCs/>
          <w:sz w:val="28"/>
          <w:szCs w:val="28"/>
        </w:rPr>
        <w:t>Регуляторный риск</w:t>
      </w:r>
      <w:r w:rsidRPr="00B644BF">
        <w:rPr>
          <w:rFonts w:ascii="Times New Roman" w:eastAsia="Times New Roman" w:hAnsi="Times New Roman" w:cs="Times New Roman"/>
          <w:sz w:val="28"/>
          <w:szCs w:val="28"/>
        </w:rPr>
        <w:t>: тариф на электроэнергию для внутреннего рынка снижается с 0,41054 руб./кВт·ч (2026–2029 гг.) до 0,25929 руб./кВт·ч (с 2030 г.), что создаёт риск недополучения выручки в размере ≈40% по данному сегменту.</w:t>
      </w:r>
    </w:p>
    <w:p w:rsidR="00507CF9" w:rsidRPr="00B644BF" w:rsidRDefault="00507CF9" w:rsidP="00E23467">
      <w:pPr>
        <w:shd w:val="clear" w:color="auto" w:fill="FFFFFF"/>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i/>
          <w:iCs/>
          <w:sz w:val="28"/>
          <w:szCs w:val="28"/>
        </w:rPr>
        <w:t>Экспортная концентрация</w:t>
      </w:r>
      <w:r w:rsidRPr="00B644BF">
        <w:rPr>
          <w:rFonts w:ascii="Times New Roman" w:eastAsia="Times New Roman" w:hAnsi="Times New Roman" w:cs="Times New Roman"/>
          <w:sz w:val="28"/>
          <w:szCs w:val="28"/>
        </w:rPr>
        <w:t>: доля экспортной выручки возрастает с 0% (2025 г.) до 82% (2030 г.), при этом 100% экспорта гранул осуществляется на условиях CIF</w:t>
      </w:r>
      <w:r w:rsidRPr="00B644BF">
        <w:rPr>
          <w:rFonts w:ascii="Times New Roman" w:hAnsi="Times New Roman" w:cs="Times New Roman"/>
          <w:sz w:val="28"/>
          <w:szCs w:val="28"/>
          <w:shd w:val="clear" w:color="auto" w:fill="FFFFFF"/>
        </w:rPr>
        <w:t>(Cost, Insurance and Freight - «стоимость, страхование и фрахт»</w:t>
      </w:r>
      <w:r w:rsidRPr="00B644BF">
        <w:rPr>
          <w:rFonts w:ascii="Times New Roman" w:hAnsi="Times New Roman" w:cs="Times New Roman"/>
          <w:shd w:val="clear" w:color="auto" w:fill="FFFFFF"/>
        </w:rPr>
        <w:t>)</w:t>
      </w:r>
      <w:r w:rsidRPr="00B644BF">
        <w:rPr>
          <w:rFonts w:ascii="Times New Roman" w:eastAsia="Times New Roman" w:hAnsi="Times New Roman" w:cs="Times New Roman"/>
          <w:sz w:val="28"/>
          <w:szCs w:val="28"/>
        </w:rPr>
        <w:t>, что подвергает предприятие валютным рискам (USD/EUR) и рискам логистических сбоев.</w:t>
      </w:r>
    </w:p>
    <w:p w:rsidR="00507CF9" w:rsidRPr="00B644BF" w:rsidRDefault="00507CF9" w:rsidP="00E23467">
      <w:pPr>
        <w:shd w:val="clear" w:color="auto" w:fill="FFFFFF"/>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i/>
          <w:iCs/>
          <w:sz w:val="28"/>
          <w:szCs w:val="28"/>
        </w:rPr>
        <w:lastRenderedPageBreak/>
        <w:t>Сырьевая зависимость</w:t>
      </w:r>
      <w:r w:rsidRPr="00B644BF">
        <w:rPr>
          <w:rFonts w:ascii="Times New Roman" w:eastAsia="Times New Roman" w:hAnsi="Times New Roman" w:cs="Times New Roman"/>
          <w:sz w:val="28"/>
          <w:szCs w:val="28"/>
        </w:rPr>
        <w:t>: потребность в люцерне (до 94 890 т/год) и свекловичном жоме (141 750 т/год) зависит от сезонности сельскохозяйственного производства и погодных условий.</w:t>
      </w:r>
    </w:p>
    <w:p w:rsidR="00507CF9" w:rsidRPr="00B644BF" w:rsidRDefault="00507CF9" w:rsidP="00E23467">
      <w:pPr>
        <w:shd w:val="clear" w:color="auto" w:fill="FFFFFF"/>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rPr>
        <w:t xml:space="preserve">Важный принцип современной методологии - замена точечных прогнозов интервальными оценками и переход от статического анализа безубыточности к динамическому моделированию с учётом корреляционной структуры рыночных переменных. </w:t>
      </w:r>
      <w:r w:rsidRPr="00B644BF">
        <w:rPr>
          <w:rFonts w:ascii="Times New Roman" w:eastAsia="Times New Roman" w:hAnsi="Times New Roman" w:cs="Times New Roman"/>
          <w:b/>
          <w:bCs/>
          <w:sz w:val="28"/>
          <w:szCs w:val="28"/>
        </w:rPr>
        <w:t xml:space="preserve"> </w:t>
      </w:r>
      <w:r w:rsidRPr="00B644BF">
        <w:rPr>
          <w:rFonts w:ascii="Times New Roman" w:eastAsia="Times New Roman" w:hAnsi="Times New Roman" w:cs="Times New Roman"/>
          <w:sz w:val="28"/>
          <w:szCs w:val="28"/>
        </w:rPr>
        <w:t>Для количественной оценки сбытовых рисков в бизнес-плане применяются математические методы, позволяющие измерить чувствительность, волатильность и вероятность неблагоприятных исходов.</w:t>
      </w:r>
    </w:p>
    <w:p w:rsidR="00507CF9" w:rsidRPr="00B644BF" w:rsidRDefault="00507CF9" w:rsidP="00E23467">
      <w:pPr>
        <w:shd w:val="clear" w:color="auto" w:fill="FFFFFF"/>
        <w:spacing w:after="0" w:line="240" w:lineRule="auto"/>
        <w:ind w:firstLine="709"/>
        <w:jc w:val="both"/>
        <w:outlineLvl w:val="3"/>
        <w:rPr>
          <w:rFonts w:ascii="Times New Roman" w:eastAsia="Times New Roman" w:hAnsi="Times New Roman" w:cs="Times New Roman"/>
          <w:sz w:val="28"/>
          <w:szCs w:val="28"/>
        </w:rPr>
      </w:pPr>
      <w:r w:rsidRPr="00E23467">
        <w:rPr>
          <w:rFonts w:ascii="Times New Roman" w:eastAsia="Times New Roman" w:hAnsi="Times New Roman" w:cs="Times New Roman"/>
          <w:bCs/>
          <w:i/>
          <w:sz w:val="28"/>
          <w:szCs w:val="28"/>
        </w:rPr>
        <w:t xml:space="preserve"> Анализ чувствительности на основе частных производных.</w:t>
      </w:r>
      <w:r w:rsidRPr="00B644BF">
        <w:rPr>
          <w:rFonts w:ascii="Times New Roman" w:eastAsia="Times New Roman" w:hAnsi="Times New Roman" w:cs="Times New Roman"/>
          <w:b/>
          <w:bCs/>
          <w:sz w:val="28"/>
          <w:szCs w:val="28"/>
        </w:rPr>
        <w:t xml:space="preserve"> </w:t>
      </w:r>
      <w:r w:rsidRPr="00B644BF">
        <w:rPr>
          <w:rFonts w:ascii="Times New Roman" w:eastAsia="Times New Roman" w:hAnsi="Times New Roman" w:cs="Times New Roman"/>
          <w:sz w:val="28"/>
          <w:szCs w:val="28"/>
        </w:rPr>
        <w:t>Базовый инструмент -  расчёт частных производных целевых функций по ключевым сбытовым параметрам. Для чистого дисконтированного дохода (NPV):</w:t>
      </w:r>
    </w:p>
    <w:p w:rsidR="00507CF9" w:rsidRPr="00B644BF" w:rsidRDefault="00F975FD" w:rsidP="00507CF9">
      <w:pPr>
        <w:spacing w:after="0" w:line="240" w:lineRule="auto"/>
        <w:ind w:firstLine="709"/>
        <w:jc w:val="both"/>
        <w:rPr>
          <w:rFonts w:ascii="Times New Roman" w:hAnsi="Times New Roman" w:cs="Times New Roman"/>
          <w:sz w:val="28"/>
          <w:szCs w:val="28"/>
        </w:rPr>
      </w:pPr>
      <m:oMathPara>
        <m:oMath>
          <m:f>
            <m:fPr>
              <m:ctrlPr>
                <w:rPr>
                  <w:rFonts w:ascii="Cambria Math" w:hAnsi="Times New Roman" w:cs="Times New Roman"/>
                  <w:i/>
                  <w:sz w:val="28"/>
                  <w:szCs w:val="28"/>
                </w:rPr>
              </m:ctrlPr>
            </m:fPr>
            <m:num>
              <m:r>
                <w:rPr>
                  <w:rFonts w:ascii="Cambria Math" w:hAnsi="Cambria Math" w:cs="Times New Roman"/>
                  <w:sz w:val="28"/>
                  <w:szCs w:val="28"/>
                </w:rPr>
                <m:t>∂</m:t>
              </m:r>
              <m:r>
                <w:rPr>
                  <w:rFonts w:ascii="Cambria Math" w:hAnsi="Cambria Math" w:cs="Times New Roman"/>
                  <w:sz w:val="28"/>
                  <w:szCs w:val="28"/>
                  <w:lang w:val="en-US"/>
                </w:rPr>
                <m:t>NPV</m:t>
              </m:r>
            </m:num>
            <m:den>
              <m:r>
                <w:rPr>
                  <w:rFonts w:ascii="Cambria Math" w:hAnsi="Cambria Math" w:cs="Times New Roman"/>
                  <w:sz w:val="28"/>
                  <w:szCs w:val="28"/>
                </w:rPr>
                <m:t>∂Q</m:t>
              </m:r>
            </m:den>
          </m:f>
          <m:r>
            <w:rPr>
              <w:rFonts w:ascii="Cambria Math" w:hAnsi="Times New Roman" w:cs="Times New Roman"/>
              <w:sz w:val="28"/>
              <w:szCs w:val="28"/>
            </w:rPr>
            <m:t>=</m:t>
          </m:r>
          <m:nary>
            <m:naryPr>
              <m:chr m:val="∑"/>
              <m:limLoc m:val="undOvr"/>
              <m:ctrlPr>
                <w:rPr>
                  <w:rFonts w:ascii="Cambria Math" w:hAnsi="Times New Roman" w:cs="Times New Roman"/>
                  <w:i/>
                  <w:sz w:val="28"/>
                  <w:szCs w:val="28"/>
                </w:rPr>
              </m:ctrlPr>
            </m:naryPr>
            <m:sub>
              <m:r>
                <w:rPr>
                  <w:rFonts w:ascii="Cambria Math" w:hAnsi="Cambria Math" w:cs="Times New Roman"/>
                  <w:sz w:val="28"/>
                  <w:szCs w:val="28"/>
                </w:rPr>
                <m:t>t</m:t>
              </m:r>
              <m:r>
                <w:rPr>
                  <w:rFonts w:ascii="Cambria Math" w:hAnsi="Times New Roman" w:cs="Times New Roman"/>
                  <w:sz w:val="28"/>
                  <w:szCs w:val="28"/>
                </w:rPr>
                <m:t>=1</m:t>
              </m:r>
            </m:sub>
            <m:sup>
              <m:r>
                <w:rPr>
                  <w:rFonts w:ascii="Cambria Math" w:hAnsi="Cambria Math" w:cs="Times New Roman"/>
                  <w:sz w:val="28"/>
                  <w:szCs w:val="28"/>
                </w:rPr>
                <m:t>T</m:t>
              </m:r>
            </m:sup>
            <m:e>
              <m:f>
                <m:fPr>
                  <m:ctrlPr>
                    <w:rPr>
                      <w:rFonts w:ascii="Cambria Math" w:hAnsi="Times New Roman" w:cs="Times New Roman"/>
                      <w:i/>
                      <w:sz w:val="28"/>
                      <w:szCs w:val="28"/>
                    </w:rPr>
                  </m:ctrlPr>
                </m:fPr>
                <m:num>
                  <m:r>
                    <w:rPr>
                      <w:rFonts w:ascii="Cambria Math" w:hAnsi="Times New Roman" w:cs="Times New Roman"/>
                      <w:sz w:val="28"/>
                      <w:szCs w:val="28"/>
                    </w:rPr>
                    <m:t>(</m:t>
                  </m:r>
                  <m:r>
                    <w:rPr>
                      <w:rFonts w:ascii="Cambria Math" w:hAnsi="Cambria Math" w:cs="Times New Roman"/>
                      <w:sz w:val="28"/>
                      <w:szCs w:val="28"/>
                    </w:rPr>
                    <m:t>Pt</m:t>
                  </m:r>
                  <m:r>
                    <w:rPr>
                      <w:rFonts w:ascii="Times New Roman" w:hAnsi="Times New Roman" w:cs="Times New Roman"/>
                      <w:sz w:val="28"/>
                      <w:szCs w:val="28"/>
                    </w:rPr>
                    <m:t>-</m:t>
                  </m:r>
                  <m:r>
                    <w:rPr>
                      <w:rFonts w:ascii="Cambria Math" w:hAnsi="Cambria Math" w:cs="Times New Roman"/>
                      <w:sz w:val="28"/>
                      <w:szCs w:val="28"/>
                    </w:rPr>
                    <m:t>V</m:t>
                  </m:r>
                  <m:sSub>
                    <m:sSubPr>
                      <m:ctrlPr>
                        <w:rPr>
                          <w:rFonts w:ascii="Cambria Math" w:hAnsi="Times New Roman"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t</m:t>
                      </m:r>
                    </m:sub>
                  </m:sSub>
                  <m:r>
                    <w:rPr>
                      <w:rFonts w:ascii="Cambria Math" w:hAnsi="Times New Roman" w:cs="Times New Roman"/>
                      <w:sz w:val="28"/>
                      <w:szCs w:val="28"/>
                    </w:rPr>
                    <m:t>)</m:t>
                  </m:r>
                  <m:r>
                    <w:rPr>
                      <w:rFonts w:ascii="Cambria Math" w:hAnsi="Times New Roman" w:cs="Times New Roman"/>
                      <w:sz w:val="28"/>
                      <w:szCs w:val="28"/>
                    </w:rPr>
                    <m:t>∙</m:t>
                  </m:r>
                  <m:r>
                    <w:rPr>
                      <w:rFonts w:ascii="Cambria Math" w:hAnsi="Times New Roman" w:cs="Times New Roman"/>
                      <w:sz w:val="28"/>
                      <w:szCs w:val="28"/>
                    </w:rPr>
                    <m:t>(1</m:t>
                  </m:r>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tax</m:t>
                      </m:r>
                    </m:sub>
                  </m:sSub>
                  <m:r>
                    <w:rPr>
                      <w:rFonts w:ascii="Cambria Math" w:hAnsi="Times New Roman" w:cs="Times New Roman"/>
                      <w:sz w:val="28"/>
                      <w:szCs w:val="28"/>
                    </w:rPr>
                    <m:t>)</m:t>
                  </m:r>
                </m:num>
                <m:den>
                  <m:sSup>
                    <m:sSupPr>
                      <m:ctrlPr>
                        <w:rPr>
                          <w:rFonts w:ascii="Cambria Math" w:hAnsi="Times New Roman" w:cs="Times New Roman"/>
                          <w:i/>
                          <w:sz w:val="28"/>
                          <w:szCs w:val="28"/>
                        </w:rPr>
                      </m:ctrlPr>
                    </m:sSupPr>
                    <m:e>
                      <m:r>
                        <w:rPr>
                          <w:rFonts w:ascii="Cambria Math" w:hAnsi="Times New Roman" w:cs="Times New Roman"/>
                          <w:sz w:val="28"/>
                          <w:szCs w:val="28"/>
                        </w:rPr>
                        <m:t>(1+</m:t>
                      </m:r>
                      <m:r>
                        <w:rPr>
                          <w:rFonts w:ascii="Cambria Math" w:hAnsi="Cambria Math" w:cs="Times New Roman"/>
                          <w:sz w:val="28"/>
                          <w:szCs w:val="28"/>
                        </w:rPr>
                        <m:t>r</m:t>
                      </m:r>
                      <m:r>
                        <w:rPr>
                          <w:rFonts w:ascii="Cambria Math" w:hAnsi="Times New Roman" w:cs="Times New Roman"/>
                          <w:sz w:val="28"/>
                          <w:szCs w:val="28"/>
                        </w:rPr>
                        <m:t>)</m:t>
                      </m:r>
                    </m:e>
                    <m:sup>
                      <m:r>
                        <w:rPr>
                          <w:rFonts w:ascii="Cambria Math" w:hAnsi="Cambria Math" w:cs="Times New Roman"/>
                          <w:sz w:val="28"/>
                          <w:szCs w:val="28"/>
                        </w:rPr>
                        <m:t>t</m:t>
                      </m:r>
                    </m:sup>
                  </m:sSup>
                </m:den>
              </m:f>
            </m:e>
          </m:nary>
        </m:oMath>
      </m:oMathPara>
    </w:p>
    <w:p w:rsidR="00507CF9" w:rsidRPr="00B644BF" w:rsidRDefault="00507CF9" w:rsidP="00507CF9">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где </w:t>
      </w:r>
      <m:oMath>
        <m:r>
          <w:rPr>
            <w:rFonts w:ascii="Cambria Math" w:hAnsi="Cambria Math" w:cs="Times New Roman"/>
            <w:sz w:val="28"/>
            <w:szCs w:val="28"/>
          </w:rPr>
          <m:t>∂Q</m:t>
        </m:r>
      </m:oMath>
      <w:r w:rsidRPr="00B644BF">
        <w:rPr>
          <w:rFonts w:ascii="Times New Roman" w:hAnsi="Times New Roman" w:cs="Times New Roman"/>
          <w:sz w:val="28"/>
          <w:szCs w:val="28"/>
        </w:rPr>
        <w:t xml:space="preserve">– объем продаж, </w:t>
      </w:r>
      <w:r w:rsidRPr="00B644BF">
        <w:rPr>
          <w:rFonts w:ascii="Times New Roman" w:hAnsi="Times New Roman" w:cs="Times New Roman"/>
          <w:i/>
          <w:iCs/>
          <w:sz w:val="28"/>
          <w:szCs w:val="28"/>
        </w:rPr>
        <w:t>P</w:t>
      </w:r>
      <w:r w:rsidRPr="00B644BF">
        <w:rPr>
          <w:rFonts w:ascii="Times New Roman" w:hAnsi="Times New Roman" w:cs="Times New Roman"/>
          <w:i/>
          <w:iCs/>
          <w:sz w:val="28"/>
          <w:szCs w:val="28"/>
          <w:vertAlign w:val="subscript"/>
        </w:rPr>
        <w:t>t</w:t>
      </w:r>
      <w:r w:rsidRPr="00B644BF">
        <w:rPr>
          <w:rFonts w:ascii="Times New Roman" w:hAnsi="Times New Roman" w:cs="Times New Roman"/>
          <w:sz w:val="28"/>
          <w:szCs w:val="28"/>
          <w:vertAlign w:val="subscript"/>
        </w:rPr>
        <w:t>​</w:t>
      </w:r>
      <w:r w:rsidRPr="00B644BF">
        <w:rPr>
          <w:rFonts w:ascii="Times New Roman" w:hAnsi="Times New Roman" w:cs="Times New Roman"/>
          <w:sz w:val="28"/>
          <w:szCs w:val="28"/>
        </w:rPr>
        <w:t xml:space="preserve"> – цена,  </w:t>
      </w:r>
      <w:r w:rsidRPr="00B644BF">
        <w:rPr>
          <w:rFonts w:ascii="Times New Roman" w:hAnsi="Times New Roman" w:cs="Times New Roman"/>
          <w:i/>
          <w:iCs/>
          <w:sz w:val="28"/>
          <w:szCs w:val="28"/>
        </w:rPr>
        <w:t>VC</w:t>
      </w:r>
      <w:r w:rsidRPr="00B644BF">
        <w:rPr>
          <w:rFonts w:ascii="Times New Roman" w:hAnsi="Times New Roman" w:cs="Times New Roman"/>
          <w:i/>
          <w:iCs/>
          <w:sz w:val="28"/>
          <w:szCs w:val="28"/>
          <w:vertAlign w:val="subscript"/>
        </w:rPr>
        <w:t>t</w:t>
      </w:r>
      <w:r w:rsidRPr="00B644BF">
        <w:rPr>
          <w:rFonts w:ascii="Times New Roman" w:hAnsi="Times New Roman" w:cs="Times New Roman"/>
          <w:sz w:val="28"/>
          <w:szCs w:val="28"/>
          <w:vertAlign w:val="subscript"/>
        </w:rPr>
        <w:t>​</w:t>
      </w:r>
      <w:r w:rsidRPr="00B644BF">
        <w:rPr>
          <w:rFonts w:ascii="Times New Roman" w:hAnsi="Times New Roman" w:cs="Times New Roman"/>
          <w:sz w:val="28"/>
          <w:szCs w:val="28"/>
        </w:rPr>
        <w:t xml:space="preserve"> – переменные издержки, </w:t>
      </w:r>
      <w:r w:rsidRPr="00B644BF">
        <w:rPr>
          <w:rFonts w:ascii="Times New Roman" w:hAnsi="Times New Roman" w:cs="Times New Roman"/>
          <w:i/>
          <w:iCs/>
          <w:sz w:val="28"/>
          <w:szCs w:val="28"/>
        </w:rPr>
        <w:t>T</w:t>
      </w:r>
      <w:r w:rsidRPr="00B644BF">
        <w:rPr>
          <w:rFonts w:ascii="Times New Roman" w:hAnsi="Times New Roman" w:cs="Times New Roman"/>
          <w:i/>
          <w:iCs/>
          <w:sz w:val="28"/>
          <w:szCs w:val="28"/>
          <w:vertAlign w:val="subscript"/>
        </w:rPr>
        <w:t>tax</w:t>
      </w:r>
      <w:r w:rsidRPr="00B644BF">
        <w:rPr>
          <w:rFonts w:ascii="Times New Roman" w:hAnsi="Times New Roman" w:cs="Times New Roman"/>
          <w:sz w:val="28"/>
          <w:szCs w:val="28"/>
          <w:vertAlign w:val="subscript"/>
        </w:rPr>
        <w:t xml:space="preserve">​ </w:t>
      </w:r>
      <w:r w:rsidRPr="00B644BF">
        <w:rPr>
          <w:rFonts w:ascii="Times New Roman" w:hAnsi="Times New Roman" w:cs="Times New Roman"/>
          <w:sz w:val="28"/>
          <w:szCs w:val="28"/>
        </w:rPr>
        <w:t xml:space="preserve">– ставка налога на прибыль, </w:t>
      </w:r>
      <w:r w:rsidRPr="00B644BF">
        <w:rPr>
          <w:rFonts w:ascii="Times New Roman" w:hAnsi="Times New Roman" w:cs="Times New Roman"/>
          <w:i/>
          <w:iCs/>
          <w:sz w:val="28"/>
          <w:szCs w:val="28"/>
        </w:rPr>
        <w:t>r</w:t>
      </w:r>
      <w:r w:rsidRPr="00B644BF">
        <w:rPr>
          <w:rFonts w:ascii="Times New Roman" w:hAnsi="Times New Roman" w:cs="Times New Roman"/>
          <w:sz w:val="28"/>
          <w:szCs w:val="28"/>
        </w:rPr>
        <w:t xml:space="preserve"> – ставка дисконтирования.</w:t>
      </w:r>
    </w:p>
    <w:p w:rsidR="00507CF9" w:rsidRPr="00B644BF" w:rsidRDefault="00507CF9" w:rsidP="00507CF9">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Для анализируемого бизнес-плана: чувствительность ЧДД (</w:t>
      </w:r>
      <w:r w:rsidRPr="00B644BF">
        <w:rPr>
          <w:rFonts w:ascii="Times New Roman" w:hAnsi="Times New Roman" w:cs="Times New Roman"/>
          <w:sz w:val="28"/>
          <w:szCs w:val="28"/>
          <w:lang w:val="en-US"/>
        </w:rPr>
        <w:t>NPV</w:t>
      </w:r>
      <w:r w:rsidRPr="00B644BF">
        <w:rPr>
          <w:rFonts w:ascii="Times New Roman" w:hAnsi="Times New Roman" w:cs="Times New Roman"/>
          <w:sz w:val="28"/>
          <w:szCs w:val="28"/>
        </w:rPr>
        <w:t xml:space="preserve">) к изменению цены на гранулы из люцерны (экспорт, цена CIF = 0,925 долл./кг в базовом сценарии). При базовой ставке дисконтирования </w:t>
      </w:r>
      <w:r w:rsidRPr="00B644BF">
        <w:rPr>
          <w:rFonts w:ascii="Times New Roman" w:hAnsi="Times New Roman" w:cs="Times New Roman"/>
          <w:i/>
          <w:iCs/>
          <w:sz w:val="28"/>
          <w:szCs w:val="28"/>
        </w:rPr>
        <w:t>r</w:t>
      </w:r>
      <w:r w:rsidRPr="00B644BF">
        <w:rPr>
          <w:rFonts w:ascii="Times New Roman" w:hAnsi="Times New Roman" w:cs="Times New Roman"/>
          <w:sz w:val="28"/>
          <w:szCs w:val="28"/>
        </w:rPr>
        <w:t xml:space="preserve">=3,5%, горизонте </w:t>
      </w:r>
      <w:r w:rsidRPr="00B644BF">
        <w:rPr>
          <w:rFonts w:ascii="Times New Roman" w:hAnsi="Times New Roman" w:cs="Times New Roman"/>
          <w:i/>
          <w:iCs/>
          <w:sz w:val="28"/>
          <w:szCs w:val="28"/>
        </w:rPr>
        <w:t>T</w:t>
      </w:r>
      <w:r w:rsidRPr="00B644BF">
        <w:rPr>
          <w:rFonts w:ascii="Times New Roman" w:hAnsi="Times New Roman" w:cs="Times New Roman"/>
          <w:sz w:val="28"/>
          <w:szCs w:val="28"/>
        </w:rPr>
        <w:t>=21 год и маржинальной прибыли (</w:t>
      </w:r>
      <w:r w:rsidRPr="00B644BF">
        <w:rPr>
          <w:rFonts w:ascii="Times New Roman" w:hAnsi="Times New Roman" w:cs="Times New Roman"/>
          <w:i/>
          <w:iCs/>
          <w:sz w:val="28"/>
          <w:szCs w:val="28"/>
        </w:rPr>
        <w:t>P</w:t>
      </w:r>
      <w:r w:rsidRPr="00B644BF">
        <w:rPr>
          <w:rFonts w:ascii="Times New Roman" w:hAnsi="Times New Roman" w:cs="Times New Roman"/>
          <w:sz w:val="28"/>
          <w:szCs w:val="28"/>
        </w:rPr>
        <w:t>−</w:t>
      </w:r>
      <w:r w:rsidRPr="00B644BF">
        <w:rPr>
          <w:rFonts w:ascii="Times New Roman" w:hAnsi="Times New Roman" w:cs="Times New Roman"/>
          <w:i/>
          <w:iCs/>
          <w:sz w:val="28"/>
          <w:szCs w:val="28"/>
        </w:rPr>
        <w:t>VC</w:t>
      </w:r>
      <w:r w:rsidRPr="00B644BF">
        <w:rPr>
          <w:rFonts w:ascii="Times New Roman" w:hAnsi="Times New Roman" w:cs="Times New Roman"/>
          <w:sz w:val="28"/>
          <w:szCs w:val="28"/>
        </w:rPr>
        <w:t>)=0,45 долл./кг:</w:t>
      </w:r>
    </w:p>
    <w:p w:rsidR="00507CF9" w:rsidRPr="00B644BF" w:rsidRDefault="00F975FD" w:rsidP="00507CF9">
      <w:pPr>
        <w:spacing w:after="0" w:line="240" w:lineRule="auto"/>
        <w:ind w:firstLine="709"/>
        <w:jc w:val="both"/>
        <w:rPr>
          <w:rFonts w:ascii="Times New Roman" w:eastAsia="Times New Roman" w:hAnsi="Times New Roman" w:cs="Times New Roman"/>
          <w:sz w:val="28"/>
          <w:szCs w:val="28"/>
        </w:rPr>
      </w:pPr>
      <m:oMathPara>
        <m:oMath>
          <m:f>
            <m:fPr>
              <m:ctrlPr>
                <w:rPr>
                  <w:rFonts w:ascii="Cambria Math" w:hAnsi="Times New Roman" w:cs="Times New Roman"/>
                  <w:i/>
                  <w:sz w:val="28"/>
                  <w:szCs w:val="28"/>
                </w:rPr>
              </m:ctrlPr>
            </m:fPr>
            <m:num>
              <m:r>
                <w:rPr>
                  <w:rFonts w:ascii="Cambria Math" w:hAnsi="Cambria Math" w:cs="Times New Roman"/>
                  <w:sz w:val="28"/>
                  <w:szCs w:val="28"/>
                </w:rPr>
                <m:t>∂</m:t>
              </m:r>
              <m:r>
                <w:rPr>
                  <w:rFonts w:ascii="Cambria Math" w:hAnsi="Cambria Math" w:cs="Times New Roman"/>
                  <w:sz w:val="28"/>
                  <w:szCs w:val="28"/>
                  <w:lang w:val="en-US"/>
                </w:rPr>
                <m:t>NPV</m:t>
              </m:r>
            </m:num>
            <m:den>
              <m:r>
                <w:rPr>
                  <w:rFonts w:ascii="Cambria Math" w:hAnsi="Cambria Math" w:cs="Times New Roman"/>
                  <w:sz w:val="28"/>
                  <w:szCs w:val="28"/>
                </w:rPr>
                <m:t>∂Q</m:t>
              </m:r>
            </m:den>
          </m:f>
          <m:r>
            <w:rPr>
              <w:rFonts w:ascii="Cambria Math" w:hAnsi="Times New Roman" w:cs="Times New Roman"/>
              <w:sz w:val="28"/>
              <w:szCs w:val="28"/>
            </w:rPr>
            <m:t>≈</m:t>
          </m:r>
          <m:nary>
            <m:naryPr>
              <m:chr m:val="∑"/>
              <m:limLoc m:val="undOvr"/>
              <m:ctrlPr>
                <w:rPr>
                  <w:rFonts w:ascii="Cambria Math" w:hAnsi="Times New Roman" w:cs="Times New Roman"/>
                  <w:i/>
                  <w:sz w:val="28"/>
                  <w:szCs w:val="28"/>
                </w:rPr>
              </m:ctrlPr>
            </m:naryPr>
            <m:sub>
              <m:r>
                <w:rPr>
                  <w:rFonts w:ascii="Cambria Math" w:hAnsi="Cambria Math" w:cs="Times New Roman"/>
                  <w:sz w:val="28"/>
                  <w:szCs w:val="28"/>
                </w:rPr>
                <m:t>t</m:t>
              </m:r>
              <m:r>
                <w:rPr>
                  <w:rFonts w:ascii="Cambria Math" w:hAnsi="Times New Roman" w:cs="Times New Roman"/>
                  <w:sz w:val="28"/>
                  <w:szCs w:val="28"/>
                </w:rPr>
                <m:t>=1</m:t>
              </m:r>
            </m:sub>
            <m:sup>
              <m:r>
                <w:rPr>
                  <w:rFonts w:ascii="Cambria Math" w:hAnsi="Times New Roman" w:cs="Times New Roman"/>
                  <w:sz w:val="28"/>
                  <w:szCs w:val="28"/>
                </w:rPr>
                <m:t>21</m:t>
              </m:r>
            </m:sup>
            <m:e>
              <m:f>
                <m:fPr>
                  <m:ctrlPr>
                    <w:rPr>
                      <w:rFonts w:ascii="Cambria Math" w:hAnsi="Times New Roman" w:cs="Times New Roman"/>
                      <w:i/>
                      <w:sz w:val="28"/>
                      <w:szCs w:val="28"/>
                    </w:rPr>
                  </m:ctrlPr>
                </m:fPr>
                <m:num>
                  <m:r>
                    <w:rPr>
                      <w:rFonts w:ascii="Cambria Math" w:hAnsi="Times New Roman" w:cs="Times New Roman"/>
                      <w:sz w:val="28"/>
                      <w:szCs w:val="28"/>
                    </w:rPr>
                    <m:t>(0,45)</m:t>
                  </m:r>
                  <m:r>
                    <w:rPr>
                      <w:rFonts w:ascii="Cambria Math" w:hAnsi="Times New Roman" w:cs="Times New Roman"/>
                      <w:sz w:val="28"/>
                      <w:szCs w:val="28"/>
                    </w:rPr>
                    <m:t>∙</m:t>
                  </m:r>
                  <m:r>
                    <w:rPr>
                      <w:rFonts w:ascii="Cambria Math" w:hAnsi="Times New Roman" w:cs="Times New Roman"/>
                      <w:sz w:val="28"/>
                      <w:szCs w:val="28"/>
                    </w:rPr>
                    <m:t>(1</m:t>
                  </m:r>
                  <m:r>
                    <w:rPr>
                      <w:rFonts w:ascii="Cambria Math" w:hAnsi="Times New Roman" w:cs="Times New Roman"/>
                      <w:sz w:val="28"/>
                      <w:szCs w:val="28"/>
                    </w:rPr>
                    <m:t>-</m:t>
                  </m:r>
                  <m:r>
                    <w:rPr>
                      <w:rFonts w:ascii="Cambria Math" w:hAnsi="Times New Roman" w:cs="Times New Roman"/>
                      <w:sz w:val="28"/>
                      <w:szCs w:val="28"/>
                    </w:rPr>
                    <m:t>0,20)</m:t>
                  </m:r>
                </m:num>
                <m:den>
                  <m:sSup>
                    <m:sSupPr>
                      <m:ctrlPr>
                        <w:rPr>
                          <w:rFonts w:ascii="Cambria Math" w:hAnsi="Times New Roman" w:cs="Times New Roman"/>
                          <w:i/>
                          <w:sz w:val="28"/>
                          <w:szCs w:val="28"/>
                        </w:rPr>
                      </m:ctrlPr>
                    </m:sSupPr>
                    <m:e>
                      <m:r>
                        <w:rPr>
                          <w:rFonts w:ascii="Cambria Math" w:hAnsi="Times New Roman" w:cs="Times New Roman"/>
                          <w:sz w:val="28"/>
                          <w:szCs w:val="28"/>
                        </w:rPr>
                        <m:t>(1,035)</m:t>
                      </m:r>
                    </m:e>
                    <m:sup>
                      <m:r>
                        <w:rPr>
                          <w:rFonts w:ascii="Cambria Math" w:hAnsi="Cambria Math" w:cs="Times New Roman"/>
                          <w:sz w:val="28"/>
                          <w:szCs w:val="28"/>
                        </w:rPr>
                        <m:t>t</m:t>
                      </m:r>
                    </m:sup>
                  </m:sSup>
                </m:den>
              </m:f>
              <m:r>
                <w:rPr>
                  <w:rFonts w:ascii="Cambria Math" w:hAnsi="Times New Roman" w:cs="Times New Roman"/>
                  <w:sz w:val="28"/>
                  <w:szCs w:val="28"/>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t</m:t>
                  </m:r>
                </m:sub>
              </m:sSub>
              <m:r>
                <w:rPr>
                  <w:rFonts w:ascii="Cambria Math" w:hAnsi="Times New Roman" w:cs="Times New Roman"/>
                  <w:sz w:val="28"/>
                  <w:szCs w:val="28"/>
                  <w:lang w:val="en-US"/>
                </w:rPr>
                <m:t>≈</m:t>
              </m:r>
              <m:r>
                <w:rPr>
                  <w:rFonts w:ascii="Cambria Math" w:hAnsi="Times New Roman" w:cs="Times New Roman"/>
                  <w:sz w:val="28"/>
                  <w:szCs w:val="28"/>
                  <w:lang w:val="en-US"/>
                </w:rPr>
                <m:t xml:space="preserve">12,8 </m:t>
              </m:r>
            </m:e>
          </m:nary>
        </m:oMath>
      </m:oMathPara>
    </w:p>
    <w:p w:rsidR="00507CF9" w:rsidRPr="00B644BF" w:rsidRDefault="00507CF9" w:rsidP="00507CF9">
      <w:pPr>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rPr>
        <w:t xml:space="preserve">Таким образом, ЧДД проекта изменится на ≈12,8 тыс. руб. при изменении объёма продаж на 1 т. Снижение экспорта люцерны на 10% (≈4 700 т/год в пиковый период) приведёт к уменьшению ЧДД на ≈60 млн руб. в дисконтированной оценке, что составляет ≈5% от базового ЧДД (11 808 тыс. руб.).  Ценовая эластичность спроса </w:t>
      </w:r>
      <m:oMath>
        <m:r>
          <w:rPr>
            <w:rFonts w:ascii="Cambria Math" w:hAnsi="Times New Roman" w:cs="Times New Roman"/>
            <w:sz w:val="28"/>
            <w:szCs w:val="28"/>
          </w:rPr>
          <m:t>Э</m:t>
        </m:r>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Cambria Math" w:cs="Times New Roman"/>
                <w:sz w:val="28"/>
                <w:szCs w:val="28"/>
              </w:rPr>
              <m:t>∂</m:t>
            </m:r>
            <m:r>
              <w:rPr>
                <w:rFonts w:ascii="Cambria Math" w:hAnsi="Cambria Math" w:cs="Times New Roman"/>
                <w:sz w:val="28"/>
                <w:szCs w:val="28"/>
                <w:lang w:val="en-US"/>
              </w:rPr>
              <m:t>Q</m:t>
            </m:r>
            <m:r>
              <w:rPr>
                <w:rFonts w:ascii="Cambria Math" w:hAnsi="Times New Roman" w:cs="Times New Roman"/>
                <w:sz w:val="28"/>
                <w:szCs w:val="28"/>
              </w:rPr>
              <m:t>/</m:t>
            </m:r>
            <m:r>
              <w:rPr>
                <w:rFonts w:ascii="Cambria Math" w:hAnsi="Cambria Math" w:cs="Times New Roman"/>
                <w:sz w:val="28"/>
                <w:szCs w:val="28"/>
                <w:lang w:val="en-US"/>
              </w:rPr>
              <m:t>Q</m:t>
            </m:r>
          </m:num>
          <m:den>
            <m:r>
              <w:rPr>
                <w:rFonts w:ascii="Cambria Math" w:hAnsi="Cambria Math" w:cs="Times New Roman"/>
                <w:sz w:val="28"/>
                <w:szCs w:val="28"/>
              </w:rPr>
              <m:t>∂P</m:t>
            </m:r>
            <m:r>
              <w:rPr>
                <w:rFonts w:ascii="Cambria Math" w:hAnsi="Times New Roman" w:cs="Times New Roman"/>
                <w:sz w:val="28"/>
                <w:szCs w:val="28"/>
              </w:rPr>
              <m:t>/</m:t>
            </m:r>
            <m:r>
              <w:rPr>
                <w:rFonts w:ascii="Cambria Math" w:hAnsi="Cambria Math" w:cs="Times New Roman"/>
                <w:sz w:val="28"/>
                <w:szCs w:val="28"/>
              </w:rPr>
              <m:t>P</m:t>
            </m:r>
          </m:den>
        </m:f>
      </m:oMath>
      <w:r w:rsidRPr="00B644BF">
        <w:rPr>
          <w:rFonts w:ascii="Times New Roman" w:hAnsi="Times New Roman" w:cs="Times New Roman"/>
          <w:sz w:val="28"/>
          <w:szCs w:val="28"/>
        </w:rPr>
        <w:t xml:space="preserve"> </w:t>
      </w:r>
      <w:r w:rsidRPr="00B644BF">
        <w:rPr>
          <w:rFonts w:ascii="Times New Roman" w:eastAsia="Times New Roman" w:hAnsi="Times New Roman" w:cs="Times New Roman"/>
          <w:sz w:val="28"/>
          <w:szCs w:val="28"/>
        </w:rPr>
        <w:t xml:space="preserve">позволяет определить пороговые значения цены, при которых маржинальный доход компенсирует падение объёмов. Критический уровень снижения цены определяется из условия </w:t>
      </w:r>
      <w:r w:rsidRPr="00B644BF">
        <w:rPr>
          <w:rFonts w:ascii="Times New Roman" w:eastAsia="Times New Roman" w:hAnsi="Times New Roman" w:cs="Times New Roman"/>
          <w:i/>
          <w:iCs/>
          <w:sz w:val="28"/>
          <w:szCs w:val="28"/>
        </w:rPr>
        <w:t>NPV</w:t>
      </w:r>
      <w:r w:rsidRPr="00B644BF">
        <w:rPr>
          <w:rFonts w:ascii="Times New Roman" w:eastAsia="Times New Roman" w:hAnsi="Times New Roman" w:cs="Times New Roman"/>
          <w:sz w:val="28"/>
          <w:szCs w:val="28"/>
        </w:rPr>
        <w:t>=0 при заданном изменении ∂</w:t>
      </w:r>
      <w:r w:rsidRPr="00B644BF">
        <w:rPr>
          <w:rFonts w:ascii="Times New Roman" w:eastAsia="Times New Roman" w:hAnsi="Times New Roman" w:cs="Times New Roman"/>
          <w:i/>
          <w:iCs/>
          <w:sz w:val="28"/>
          <w:szCs w:val="28"/>
        </w:rPr>
        <w:t>Q</w:t>
      </w:r>
      <w:r w:rsidRPr="00B644BF">
        <w:rPr>
          <w:rFonts w:ascii="Times New Roman" w:eastAsia="Times New Roman" w:hAnsi="Times New Roman" w:cs="Times New Roman"/>
          <w:sz w:val="28"/>
          <w:szCs w:val="28"/>
        </w:rPr>
        <w:t>.</w:t>
      </w:r>
    </w:p>
    <w:p w:rsidR="00507CF9" w:rsidRPr="00B644BF" w:rsidRDefault="00507CF9" w:rsidP="00507CF9">
      <w:pPr>
        <w:shd w:val="clear" w:color="auto" w:fill="FFFFFF"/>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rPr>
        <w:t xml:space="preserve">Для гранул из свекловичного жома (цена экспорта 0,488 долл./кг) при эластичности </w:t>
      </w:r>
      <w:r w:rsidRPr="00B644BF">
        <w:rPr>
          <w:rFonts w:ascii="Times New Roman" w:eastAsia="Times New Roman" w:hAnsi="Times New Roman" w:cs="Times New Roman"/>
          <w:i/>
          <w:sz w:val="28"/>
          <w:szCs w:val="28"/>
        </w:rPr>
        <w:t>Э= -1,2</w:t>
      </w:r>
      <w:r w:rsidRPr="00B644BF">
        <w:rPr>
          <w:rFonts w:ascii="Times New Roman" w:eastAsia="Times New Roman" w:hAnsi="Times New Roman" w:cs="Times New Roman"/>
          <w:sz w:val="28"/>
          <w:szCs w:val="28"/>
        </w:rPr>
        <w:t xml:space="preserve"> (оценка по данным импорта стран ЕС) критическое снижение цены, при котором проект сохраняет безубыточность, составляет не более 18% от базового уровня.</w:t>
      </w:r>
    </w:p>
    <w:p w:rsidR="00507CF9" w:rsidRPr="00B644BF" w:rsidRDefault="00507CF9" w:rsidP="00507CF9">
      <w:pPr>
        <w:shd w:val="clear" w:color="auto" w:fill="FFFFFF"/>
        <w:spacing w:after="0" w:line="240" w:lineRule="auto"/>
        <w:ind w:firstLine="709"/>
        <w:jc w:val="both"/>
        <w:outlineLvl w:val="3"/>
        <w:rPr>
          <w:rFonts w:ascii="Times New Roman" w:eastAsia="Times New Roman" w:hAnsi="Times New Roman" w:cs="Times New Roman"/>
          <w:sz w:val="28"/>
          <w:szCs w:val="28"/>
        </w:rPr>
      </w:pPr>
      <w:r w:rsidRPr="00E23467">
        <w:rPr>
          <w:rFonts w:ascii="Times New Roman" w:eastAsia="Times New Roman" w:hAnsi="Times New Roman" w:cs="Times New Roman"/>
          <w:bCs/>
          <w:i/>
          <w:sz w:val="28"/>
          <w:szCs w:val="28"/>
        </w:rPr>
        <w:t xml:space="preserve">Вероятностные характеристики выручки. </w:t>
      </w:r>
      <w:r w:rsidRPr="00B644BF">
        <w:rPr>
          <w:rFonts w:ascii="Times New Roman" w:eastAsia="Times New Roman" w:hAnsi="Times New Roman" w:cs="Times New Roman"/>
          <w:sz w:val="28"/>
          <w:szCs w:val="28"/>
        </w:rPr>
        <w:t xml:space="preserve">При наличии исторических данных или экспертных оценок выручка </w:t>
      </w:r>
      <w:r w:rsidRPr="00B644BF">
        <w:rPr>
          <w:rFonts w:ascii="Times New Roman" w:eastAsia="Times New Roman" w:hAnsi="Times New Roman" w:cs="Times New Roman"/>
          <w:i/>
          <w:iCs/>
          <w:sz w:val="28"/>
          <w:szCs w:val="28"/>
        </w:rPr>
        <w:t>R</w:t>
      </w:r>
      <w:r w:rsidRPr="00B644BF">
        <w:rPr>
          <w:rFonts w:ascii="Times New Roman" w:eastAsia="Times New Roman" w:hAnsi="Times New Roman" w:cs="Times New Roman"/>
          <w:sz w:val="28"/>
          <w:szCs w:val="28"/>
        </w:rPr>
        <w:t xml:space="preserve"> моделируется как случайная величина с математическим ожиданием </w:t>
      </w:r>
      <w:r w:rsidRPr="00B644BF">
        <w:rPr>
          <w:rFonts w:ascii="Times New Roman" w:eastAsia="Times New Roman" w:hAnsi="Times New Roman" w:cs="Times New Roman"/>
          <w:i/>
          <w:iCs/>
          <w:sz w:val="28"/>
          <w:szCs w:val="28"/>
        </w:rPr>
        <w:t>E(R)</w:t>
      </w:r>
      <w:r w:rsidRPr="00B644BF">
        <w:rPr>
          <w:rFonts w:ascii="Times New Roman" w:eastAsia="Times New Roman" w:hAnsi="Times New Roman" w:cs="Times New Roman"/>
          <w:sz w:val="28"/>
          <w:szCs w:val="28"/>
        </w:rPr>
        <w:t xml:space="preserve"> и дисперсией </w:t>
      </w:r>
      <w:r w:rsidRPr="00B644BF">
        <w:rPr>
          <w:rFonts w:ascii="Times New Roman" w:eastAsia="Times New Roman" w:hAnsi="Times New Roman" w:cs="Times New Roman"/>
          <w:i/>
          <w:iCs/>
          <w:sz w:val="32"/>
          <w:szCs w:val="32"/>
        </w:rPr>
        <w:t>σ</w:t>
      </w:r>
      <w:r w:rsidRPr="00B644BF">
        <w:rPr>
          <w:rFonts w:ascii="Times New Roman" w:eastAsia="Times New Roman" w:hAnsi="Times New Roman" w:cs="Times New Roman"/>
          <w:i/>
          <w:iCs/>
          <w:sz w:val="28"/>
          <w:szCs w:val="28"/>
          <w:vertAlign w:val="subscript"/>
        </w:rPr>
        <w:t>R</w:t>
      </w:r>
      <w:r w:rsidRPr="00B644BF">
        <w:rPr>
          <w:rFonts w:ascii="Times New Roman" w:eastAsia="Times New Roman" w:hAnsi="Times New Roman" w:cs="Times New Roman"/>
          <w:sz w:val="28"/>
          <w:szCs w:val="28"/>
          <w:vertAlign w:val="superscript"/>
        </w:rPr>
        <w:t>2</w:t>
      </w:r>
      <w:r w:rsidRPr="00B644BF">
        <w:rPr>
          <w:rFonts w:ascii="Times New Roman" w:eastAsia="Times New Roman" w:hAnsi="Times New Roman" w:cs="Times New Roman"/>
          <w:sz w:val="28"/>
          <w:szCs w:val="28"/>
        </w:rPr>
        <w:t xml:space="preserve">. </w:t>
      </w:r>
      <w:r w:rsidRPr="00B644BF">
        <w:rPr>
          <w:rFonts w:ascii="Times New Roman" w:eastAsia="Times New Roman" w:hAnsi="Times New Roman" w:cs="Times New Roman"/>
          <w:sz w:val="28"/>
          <w:szCs w:val="28"/>
        </w:rPr>
        <w:lastRenderedPageBreak/>
        <w:t xml:space="preserve">Коэффициент вариации </w:t>
      </w:r>
      <m:oMath>
        <m:sSub>
          <m:sSubPr>
            <m:ctrlPr>
              <w:rPr>
                <w:rFonts w:ascii="Cambria Math" w:eastAsia="Times New Roman" w:hAnsi="Times New Roman" w:cs="Times New Roman"/>
                <w:i/>
                <w:sz w:val="28"/>
                <w:szCs w:val="28"/>
              </w:rPr>
            </m:ctrlPr>
          </m:sSubPr>
          <m:e>
            <m:r>
              <w:rPr>
                <w:rFonts w:ascii="Cambria Math" w:eastAsia="Times New Roman" w:hAnsi="Cambria Math" w:cs="Times New Roman"/>
                <w:sz w:val="28"/>
                <w:szCs w:val="28"/>
              </w:rPr>
              <m:t>CV</m:t>
            </m:r>
          </m:e>
          <m:sub>
            <m:r>
              <w:rPr>
                <w:rFonts w:ascii="Cambria Math" w:eastAsia="Times New Roman" w:hAnsi="Cambria Math" w:cs="Times New Roman"/>
                <w:sz w:val="28"/>
                <w:szCs w:val="28"/>
              </w:rPr>
              <m:t>R</m:t>
            </m:r>
          </m:sub>
        </m:sSub>
        <m:r>
          <w:rPr>
            <w:rFonts w:ascii="Cambria Math" w:eastAsia="Times New Roman" w:hAnsi="Times New Roman" w:cs="Times New Roman"/>
            <w:sz w:val="28"/>
            <w:szCs w:val="28"/>
          </w:rPr>
          <m:t>=</m:t>
        </m:r>
        <m:f>
          <m:fPr>
            <m:ctrlPr>
              <w:rPr>
                <w:rFonts w:ascii="Cambria Math" w:eastAsia="Times New Roman" w:hAnsi="Times New Roman" w:cs="Times New Roman"/>
                <w:i/>
                <w:sz w:val="28"/>
                <w:szCs w:val="28"/>
              </w:rPr>
            </m:ctrlPr>
          </m:fPr>
          <m:num>
            <m:sSub>
              <m:sSubPr>
                <m:ctrlPr>
                  <w:rPr>
                    <w:rFonts w:ascii="Cambria Math" w:eastAsia="Times New Roman" w:hAnsi="Times New Roman" w:cs="Times New Roman"/>
                    <w:i/>
                    <w:sz w:val="28"/>
                    <w:szCs w:val="28"/>
                  </w:rPr>
                </m:ctrlPr>
              </m:sSubPr>
              <m:e>
                <m:r>
                  <w:rPr>
                    <w:rFonts w:ascii="Cambria Math" w:eastAsia="Times New Roman" w:hAnsi="Cambria Math" w:cs="Times New Roman"/>
                    <w:sz w:val="28"/>
                    <w:szCs w:val="28"/>
                  </w:rPr>
                  <m:t>σ</m:t>
                </m:r>
              </m:e>
              <m:sub>
                <m:r>
                  <w:rPr>
                    <w:rFonts w:ascii="Cambria Math" w:eastAsia="Times New Roman" w:hAnsi="Cambria Math" w:cs="Times New Roman"/>
                    <w:sz w:val="28"/>
                    <w:szCs w:val="28"/>
                  </w:rPr>
                  <m:t>R</m:t>
                </m:r>
              </m:sub>
            </m:sSub>
          </m:num>
          <m:den>
            <m:r>
              <w:rPr>
                <w:rFonts w:ascii="Cambria Math" w:eastAsia="Times New Roman" w:hAnsi="Cambria Math" w:cs="Times New Roman"/>
                <w:sz w:val="28"/>
                <w:szCs w:val="28"/>
              </w:rPr>
              <m:t>E</m:t>
            </m:r>
            <m:r>
              <w:rPr>
                <w:rFonts w:ascii="Cambria Math" w:eastAsia="Times New Roman" w:hAnsi="Times New Roman" w:cs="Times New Roman"/>
                <w:sz w:val="28"/>
                <w:szCs w:val="28"/>
              </w:rPr>
              <m:t>(</m:t>
            </m:r>
            <m:r>
              <w:rPr>
                <w:rFonts w:ascii="Cambria Math" w:eastAsia="Times New Roman" w:hAnsi="Cambria Math" w:cs="Times New Roman"/>
                <w:sz w:val="28"/>
                <w:szCs w:val="28"/>
              </w:rPr>
              <m:t>R</m:t>
            </m:r>
            <m:r>
              <w:rPr>
                <w:rFonts w:ascii="Cambria Math" w:eastAsia="Times New Roman" w:hAnsi="Times New Roman" w:cs="Times New Roman"/>
                <w:sz w:val="28"/>
                <w:szCs w:val="28"/>
              </w:rPr>
              <m:t>)</m:t>
            </m:r>
          </m:den>
        </m:f>
      </m:oMath>
      <w:r w:rsidRPr="00B644BF">
        <w:rPr>
          <w:rFonts w:ascii="Times New Roman" w:eastAsia="Times New Roman" w:hAnsi="Times New Roman" w:cs="Times New Roman"/>
          <w:sz w:val="28"/>
          <w:szCs w:val="28"/>
        </w:rPr>
        <w:t xml:space="preserve">  является нормированным индикатором относительного риска.</w:t>
      </w:r>
    </w:p>
    <w:p w:rsidR="00507CF9" w:rsidRPr="00B644BF" w:rsidRDefault="00507CF9" w:rsidP="00507CF9">
      <w:pPr>
        <w:shd w:val="clear" w:color="auto" w:fill="FFFFFF"/>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bCs/>
          <w:sz w:val="28"/>
          <w:szCs w:val="28"/>
        </w:rPr>
        <w:t>Для анализируемого бизнес-плана»</w:t>
      </w:r>
      <w:r w:rsidRPr="00B644BF">
        <w:rPr>
          <w:rFonts w:ascii="Times New Roman" w:eastAsia="Times New Roman" w:hAnsi="Times New Roman" w:cs="Times New Roman"/>
          <w:sz w:val="28"/>
          <w:szCs w:val="28"/>
        </w:rPr>
        <w:t>: на основе анализа волатильности цен на кормовые гранулы на рынке ЕС последние пять лет построено трёхсценарное распределение экспортной выручки от гранул (люцерна + жом) для 2030 года:</w:t>
      </w:r>
    </w:p>
    <w:tbl>
      <w:tblPr>
        <w:tblStyle w:val="af2"/>
        <w:tblW w:w="0" w:type="auto"/>
        <w:tblLook w:val="04A0"/>
      </w:tblPr>
      <w:tblGrid>
        <w:gridCol w:w="2294"/>
        <w:gridCol w:w="1723"/>
        <w:gridCol w:w="2342"/>
        <w:gridCol w:w="2927"/>
      </w:tblGrid>
      <w:tr w:rsidR="00507CF9" w:rsidRPr="00B644BF" w:rsidTr="00D60961">
        <w:tc>
          <w:tcPr>
            <w:tcW w:w="0" w:type="auto"/>
            <w:hideMark/>
          </w:tcPr>
          <w:p w:rsidR="00507CF9" w:rsidRPr="00B644BF" w:rsidRDefault="00507CF9" w:rsidP="00D60961">
            <w:pPr>
              <w:jc w:val="both"/>
              <w:rPr>
                <w:rFonts w:ascii="Times New Roman" w:eastAsia="Times New Roman" w:hAnsi="Times New Roman" w:cs="Times New Roman"/>
                <w:sz w:val="28"/>
                <w:szCs w:val="28"/>
                <w:lang w:eastAsia="ru-RU"/>
              </w:rPr>
            </w:pPr>
            <w:r w:rsidRPr="00B644BF">
              <w:rPr>
                <w:rFonts w:ascii="Times New Roman" w:eastAsia="Times New Roman" w:hAnsi="Times New Roman" w:cs="Times New Roman"/>
                <w:sz w:val="28"/>
                <w:szCs w:val="28"/>
                <w:lang w:eastAsia="ru-RU"/>
              </w:rPr>
              <w:t>Сценарий</w:t>
            </w:r>
          </w:p>
        </w:tc>
        <w:tc>
          <w:tcPr>
            <w:tcW w:w="0" w:type="auto"/>
            <w:hideMark/>
          </w:tcPr>
          <w:p w:rsidR="00507CF9" w:rsidRPr="00B644BF" w:rsidRDefault="00507CF9" w:rsidP="00D60961">
            <w:pPr>
              <w:jc w:val="center"/>
              <w:rPr>
                <w:rFonts w:ascii="Times New Roman" w:eastAsia="Times New Roman" w:hAnsi="Times New Roman" w:cs="Times New Roman"/>
                <w:sz w:val="28"/>
                <w:szCs w:val="28"/>
                <w:lang w:eastAsia="ru-RU"/>
              </w:rPr>
            </w:pPr>
            <w:r w:rsidRPr="00B644BF">
              <w:rPr>
                <w:rFonts w:ascii="Times New Roman" w:eastAsia="Times New Roman" w:hAnsi="Times New Roman" w:cs="Times New Roman"/>
                <w:sz w:val="28"/>
                <w:szCs w:val="28"/>
                <w:lang w:eastAsia="ru-RU"/>
              </w:rPr>
              <w:t>Вероятность</w:t>
            </w:r>
          </w:p>
        </w:tc>
        <w:tc>
          <w:tcPr>
            <w:tcW w:w="0" w:type="auto"/>
            <w:hideMark/>
          </w:tcPr>
          <w:p w:rsidR="00507CF9" w:rsidRPr="00B644BF" w:rsidRDefault="00507CF9" w:rsidP="00D60961">
            <w:pPr>
              <w:jc w:val="center"/>
              <w:rPr>
                <w:rFonts w:ascii="Times New Roman" w:eastAsia="Times New Roman" w:hAnsi="Times New Roman" w:cs="Times New Roman"/>
                <w:sz w:val="28"/>
                <w:szCs w:val="28"/>
                <w:lang w:eastAsia="ru-RU"/>
              </w:rPr>
            </w:pPr>
            <w:r w:rsidRPr="00B644BF">
              <w:rPr>
                <w:rFonts w:ascii="Times New Roman" w:eastAsia="Times New Roman" w:hAnsi="Times New Roman" w:cs="Times New Roman"/>
                <w:sz w:val="28"/>
                <w:szCs w:val="28"/>
                <w:lang w:eastAsia="ru-RU"/>
              </w:rPr>
              <w:t>Выручка, тыс. руб.</w:t>
            </w:r>
          </w:p>
        </w:tc>
        <w:tc>
          <w:tcPr>
            <w:tcW w:w="0" w:type="auto"/>
            <w:hideMark/>
          </w:tcPr>
          <w:p w:rsidR="00507CF9" w:rsidRPr="00B644BF" w:rsidRDefault="00507CF9" w:rsidP="00D60961">
            <w:pPr>
              <w:jc w:val="center"/>
              <w:rPr>
                <w:rFonts w:ascii="Times New Roman" w:eastAsia="Times New Roman" w:hAnsi="Times New Roman" w:cs="Times New Roman"/>
                <w:sz w:val="28"/>
                <w:szCs w:val="28"/>
                <w:lang w:eastAsia="ru-RU"/>
              </w:rPr>
            </w:pPr>
            <w:r w:rsidRPr="00B644BF">
              <w:rPr>
                <w:rFonts w:ascii="Times New Roman" w:eastAsia="Times New Roman" w:hAnsi="Times New Roman" w:cs="Times New Roman"/>
                <w:sz w:val="28"/>
                <w:szCs w:val="28"/>
                <w:lang w:eastAsia="ru-RU"/>
              </w:rPr>
              <w:t>Отклонение от базового</w:t>
            </w:r>
          </w:p>
        </w:tc>
      </w:tr>
      <w:tr w:rsidR="00507CF9" w:rsidRPr="00B644BF" w:rsidTr="00D60961">
        <w:tc>
          <w:tcPr>
            <w:tcW w:w="0" w:type="auto"/>
            <w:hideMark/>
          </w:tcPr>
          <w:p w:rsidR="00507CF9" w:rsidRPr="00B644BF" w:rsidRDefault="00507CF9" w:rsidP="00D60961">
            <w:pPr>
              <w:jc w:val="both"/>
              <w:rPr>
                <w:rFonts w:ascii="Times New Roman" w:eastAsia="Times New Roman" w:hAnsi="Times New Roman" w:cs="Times New Roman"/>
                <w:sz w:val="28"/>
                <w:szCs w:val="28"/>
                <w:lang w:eastAsia="ru-RU"/>
              </w:rPr>
            </w:pPr>
            <w:r w:rsidRPr="00B644BF">
              <w:rPr>
                <w:rFonts w:ascii="Times New Roman" w:eastAsia="Times New Roman" w:hAnsi="Times New Roman" w:cs="Times New Roman"/>
                <w:sz w:val="28"/>
                <w:szCs w:val="28"/>
                <w:lang w:eastAsia="ru-RU"/>
              </w:rPr>
              <w:t>Оптимистичный</w:t>
            </w:r>
          </w:p>
        </w:tc>
        <w:tc>
          <w:tcPr>
            <w:tcW w:w="0" w:type="auto"/>
            <w:hideMark/>
          </w:tcPr>
          <w:p w:rsidR="00507CF9" w:rsidRPr="00B644BF" w:rsidRDefault="00507CF9" w:rsidP="00D60961">
            <w:pPr>
              <w:jc w:val="center"/>
              <w:rPr>
                <w:rFonts w:ascii="Times New Roman" w:eastAsia="Times New Roman" w:hAnsi="Times New Roman" w:cs="Times New Roman"/>
                <w:sz w:val="28"/>
                <w:szCs w:val="28"/>
                <w:lang w:eastAsia="ru-RU"/>
              </w:rPr>
            </w:pPr>
            <w:r w:rsidRPr="00B644BF">
              <w:rPr>
                <w:rFonts w:ascii="Times New Roman" w:eastAsia="Times New Roman" w:hAnsi="Times New Roman" w:cs="Times New Roman"/>
                <w:sz w:val="28"/>
                <w:szCs w:val="28"/>
                <w:lang w:eastAsia="ru-RU"/>
              </w:rPr>
              <w:t>0,25</w:t>
            </w:r>
          </w:p>
        </w:tc>
        <w:tc>
          <w:tcPr>
            <w:tcW w:w="0" w:type="auto"/>
            <w:hideMark/>
          </w:tcPr>
          <w:p w:rsidR="00507CF9" w:rsidRPr="00B644BF" w:rsidRDefault="00507CF9" w:rsidP="00D60961">
            <w:pPr>
              <w:jc w:val="center"/>
              <w:rPr>
                <w:rFonts w:ascii="Times New Roman" w:eastAsia="Times New Roman" w:hAnsi="Times New Roman" w:cs="Times New Roman"/>
                <w:sz w:val="28"/>
                <w:szCs w:val="28"/>
                <w:lang w:eastAsia="ru-RU"/>
              </w:rPr>
            </w:pPr>
            <w:r w:rsidRPr="00B644BF">
              <w:rPr>
                <w:rFonts w:ascii="Times New Roman" w:eastAsia="Times New Roman" w:hAnsi="Times New Roman" w:cs="Times New Roman"/>
                <w:sz w:val="28"/>
                <w:szCs w:val="28"/>
                <w:lang w:eastAsia="ru-RU"/>
              </w:rPr>
              <w:t>68 500</w:t>
            </w:r>
          </w:p>
        </w:tc>
        <w:tc>
          <w:tcPr>
            <w:tcW w:w="0" w:type="auto"/>
            <w:hideMark/>
          </w:tcPr>
          <w:p w:rsidR="00507CF9" w:rsidRPr="00B644BF" w:rsidRDefault="00507CF9" w:rsidP="00D60961">
            <w:pPr>
              <w:jc w:val="center"/>
              <w:rPr>
                <w:rFonts w:ascii="Times New Roman" w:eastAsia="Times New Roman" w:hAnsi="Times New Roman" w:cs="Times New Roman"/>
                <w:sz w:val="28"/>
                <w:szCs w:val="28"/>
                <w:lang w:eastAsia="ru-RU"/>
              </w:rPr>
            </w:pPr>
            <w:r w:rsidRPr="00B644BF">
              <w:rPr>
                <w:rFonts w:ascii="Times New Roman" w:eastAsia="Times New Roman" w:hAnsi="Times New Roman" w:cs="Times New Roman"/>
                <w:sz w:val="28"/>
                <w:szCs w:val="28"/>
                <w:lang w:eastAsia="ru-RU"/>
              </w:rPr>
              <w:t>+15%</w:t>
            </w:r>
          </w:p>
        </w:tc>
      </w:tr>
      <w:tr w:rsidR="00507CF9" w:rsidRPr="00B644BF" w:rsidTr="00D60961">
        <w:tc>
          <w:tcPr>
            <w:tcW w:w="0" w:type="auto"/>
            <w:hideMark/>
          </w:tcPr>
          <w:p w:rsidR="00507CF9" w:rsidRPr="00B644BF" w:rsidRDefault="00507CF9" w:rsidP="00D60961">
            <w:pPr>
              <w:jc w:val="both"/>
              <w:rPr>
                <w:rFonts w:ascii="Times New Roman" w:eastAsia="Times New Roman" w:hAnsi="Times New Roman" w:cs="Times New Roman"/>
                <w:sz w:val="28"/>
                <w:szCs w:val="28"/>
                <w:lang w:eastAsia="ru-RU"/>
              </w:rPr>
            </w:pPr>
            <w:r w:rsidRPr="00B644BF">
              <w:rPr>
                <w:rFonts w:ascii="Times New Roman" w:eastAsia="Times New Roman" w:hAnsi="Times New Roman" w:cs="Times New Roman"/>
                <w:sz w:val="28"/>
                <w:szCs w:val="28"/>
                <w:lang w:eastAsia="ru-RU"/>
              </w:rPr>
              <w:t>Базовый</w:t>
            </w:r>
          </w:p>
        </w:tc>
        <w:tc>
          <w:tcPr>
            <w:tcW w:w="0" w:type="auto"/>
            <w:hideMark/>
          </w:tcPr>
          <w:p w:rsidR="00507CF9" w:rsidRPr="00B644BF" w:rsidRDefault="00507CF9" w:rsidP="00D60961">
            <w:pPr>
              <w:jc w:val="center"/>
              <w:rPr>
                <w:rFonts w:ascii="Times New Roman" w:eastAsia="Times New Roman" w:hAnsi="Times New Roman" w:cs="Times New Roman"/>
                <w:sz w:val="28"/>
                <w:szCs w:val="28"/>
                <w:lang w:eastAsia="ru-RU"/>
              </w:rPr>
            </w:pPr>
            <w:r w:rsidRPr="00B644BF">
              <w:rPr>
                <w:rFonts w:ascii="Times New Roman" w:eastAsia="Times New Roman" w:hAnsi="Times New Roman" w:cs="Times New Roman"/>
                <w:sz w:val="28"/>
                <w:szCs w:val="28"/>
                <w:lang w:eastAsia="ru-RU"/>
              </w:rPr>
              <w:t>0,50</w:t>
            </w:r>
          </w:p>
        </w:tc>
        <w:tc>
          <w:tcPr>
            <w:tcW w:w="0" w:type="auto"/>
            <w:hideMark/>
          </w:tcPr>
          <w:p w:rsidR="00507CF9" w:rsidRPr="00B644BF" w:rsidRDefault="00507CF9" w:rsidP="00D60961">
            <w:pPr>
              <w:jc w:val="center"/>
              <w:rPr>
                <w:rFonts w:ascii="Times New Roman" w:eastAsia="Times New Roman" w:hAnsi="Times New Roman" w:cs="Times New Roman"/>
                <w:sz w:val="28"/>
                <w:szCs w:val="28"/>
                <w:lang w:eastAsia="ru-RU"/>
              </w:rPr>
            </w:pPr>
            <w:r w:rsidRPr="00B644BF">
              <w:rPr>
                <w:rFonts w:ascii="Times New Roman" w:eastAsia="Times New Roman" w:hAnsi="Times New Roman" w:cs="Times New Roman"/>
                <w:sz w:val="28"/>
                <w:szCs w:val="28"/>
                <w:lang w:eastAsia="ru-RU"/>
              </w:rPr>
              <w:t>59 560</w:t>
            </w:r>
          </w:p>
        </w:tc>
        <w:tc>
          <w:tcPr>
            <w:tcW w:w="0" w:type="auto"/>
            <w:hideMark/>
          </w:tcPr>
          <w:p w:rsidR="00507CF9" w:rsidRPr="00B644BF" w:rsidRDefault="00507CF9" w:rsidP="00D60961">
            <w:pPr>
              <w:jc w:val="center"/>
              <w:rPr>
                <w:rFonts w:ascii="Times New Roman" w:eastAsia="Times New Roman" w:hAnsi="Times New Roman" w:cs="Times New Roman"/>
                <w:sz w:val="28"/>
                <w:szCs w:val="28"/>
                <w:lang w:eastAsia="ru-RU"/>
              </w:rPr>
            </w:pPr>
            <w:r w:rsidRPr="00B644BF">
              <w:rPr>
                <w:rFonts w:ascii="Times New Roman" w:eastAsia="Times New Roman" w:hAnsi="Times New Roman" w:cs="Times New Roman"/>
                <w:sz w:val="28"/>
                <w:szCs w:val="28"/>
                <w:lang w:eastAsia="ru-RU"/>
              </w:rPr>
              <w:t>0%</w:t>
            </w:r>
          </w:p>
        </w:tc>
      </w:tr>
      <w:tr w:rsidR="00507CF9" w:rsidRPr="00B644BF" w:rsidTr="00D60961">
        <w:tc>
          <w:tcPr>
            <w:tcW w:w="0" w:type="auto"/>
            <w:hideMark/>
          </w:tcPr>
          <w:p w:rsidR="00507CF9" w:rsidRPr="00B644BF" w:rsidRDefault="00507CF9" w:rsidP="00D60961">
            <w:pPr>
              <w:jc w:val="both"/>
              <w:rPr>
                <w:rFonts w:ascii="Times New Roman" w:eastAsia="Times New Roman" w:hAnsi="Times New Roman" w:cs="Times New Roman"/>
                <w:sz w:val="28"/>
                <w:szCs w:val="28"/>
                <w:lang w:eastAsia="ru-RU"/>
              </w:rPr>
            </w:pPr>
            <w:r w:rsidRPr="00B644BF">
              <w:rPr>
                <w:rFonts w:ascii="Times New Roman" w:eastAsia="Times New Roman" w:hAnsi="Times New Roman" w:cs="Times New Roman"/>
                <w:sz w:val="28"/>
                <w:szCs w:val="28"/>
                <w:lang w:eastAsia="ru-RU"/>
              </w:rPr>
              <w:t>Пессимистичный</w:t>
            </w:r>
          </w:p>
        </w:tc>
        <w:tc>
          <w:tcPr>
            <w:tcW w:w="0" w:type="auto"/>
            <w:hideMark/>
          </w:tcPr>
          <w:p w:rsidR="00507CF9" w:rsidRPr="00B644BF" w:rsidRDefault="00507CF9" w:rsidP="00D60961">
            <w:pPr>
              <w:jc w:val="center"/>
              <w:rPr>
                <w:rFonts w:ascii="Times New Roman" w:eastAsia="Times New Roman" w:hAnsi="Times New Roman" w:cs="Times New Roman"/>
                <w:sz w:val="28"/>
                <w:szCs w:val="28"/>
                <w:lang w:eastAsia="ru-RU"/>
              </w:rPr>
            </w:pPr>
            <w:r w:rsidRPr="00B644BF">
              <w:rPr>
                <w:rFonts w:ascii="Times New Roman" w:eastAsia="Times New Roman" w:hAnsi="Times New Roman" w:cs="Times New Roman"/>
                <w:sz w:val="28"/>
                <w:szCs w:val="28"/>
                <w:lang w:eastAsia="ru-RU"/>
              </w:rPr>
              <w:t>0,25</w:t>
            </w:r>
          </w:p>
        </w:tc>
        <w:tc>
          <w:tcPr>
            <w:tcW w:w="0" w:type="auto"/>
            <w:hideMark/>
          </w:tcPr>
          <w:p w:rsidR="00507CF9" w:rsidRPr="00B644BF" w:rsidRDefault="00507CF9" w:rsidP="00D60961">
            <w:pPr>
              <w:jc w:val="center"/>
              <w:rPr>
                <w:rFonts w:ascii="Times New Roman" w:eastAsia="Times New Roman" w:hAnsi="Times New Roman" w:cs="Times New Roman"/>
                <w:sz w:val="28"/>
                <w:szCs w:val="28"/>
                <w:lang w:eastAsia="ru-RU"/>
              </w:rPr>
            </w:pPr>
            <w:r w:rsidRPr="00B644BF">
              <w:rPr>
                <w:rFonts w:ascii="Times New Roman" w:eastAsia="Times New Roman" w:hAnsi="Times New Roman" w:cs="Times New Roman"/>
                <w:sz w:val="28"/>
                <w:szCs w:val="28"/>
                <w:lang w:eastAsia="ru-RU"/>
              </w:rPr>
              <w:t>47 650</w:t>
            </w:r>
          </w:p>
        </w:tc>
        <w:tc>
          <w:tcPr>
            <w:tcW w:w="0" w:type="auto"/>
            <w:hideMark/>
          </w:tcPr>
          <w:p w:rsidR="00507CF9" w:rsidRPr="00B644BF" w:rsidRDefault="00507CF9" w:rsidP="00D60961">
            <w:pPr>
              <w:jc w:val="center"/>
              <w:rPr>
                <w:rFonts w:ascii="Times New Roman" w:eastAsia="Times New Roman" w:hAnsi="Times New Roman" w:cs="Times New Roman"/>
                <w:sz w:val="28"/>
                <w:szCs w:val="28"/>
                <w:lang w:eastAsia="ru-RU"/>
              </w:rPr>
            </w:pPr>
            <w:r w:rsidRPr="00B644BF">
              <w:rPr>
                <w:rFonts w:ascii="Times New Roman" w:eastAsia="Times New Roman" w:hAnsi="Times New Roman" w:cs="Times New Roman"/>
                <w:sz w:val="28"/>
                <w:szCs w:val="28"/>
                <w:lang w:eastAsia="ru-RU"/>
              </w:rPr>
              <w:t>-20%</w:t>
            </w:r>
          </w:p>
        </w:tc>
      </w:tr>
    </w:tbl>
    <w:p w:rsidR="00507CF9" w:rsidRPr="00B644BF" w:rsidRDefault="00507CF9" w:rsidP="00507CF9">
      <w:pPr>
        <w:spacing w:after="0" w:line="240" w:lineRule="auto"/>
        <w:ind w:firstLine="709"/>
        <w:jc w:val="both"/>
        <w:rPr>
          <w:rFonts w:ascii="Times New Roman" w:eastAsia="Times New Roman" w:hAnsi="Times New Roman" w:cs="Times New Roman"/>
          <w:sz w:val="28"/>
          <w:szCs w:val="28"/>
          <w:shd w:val="clear" w:color="auto" w:fill="FFFFFF"/>
        </w:rPr>
      </w:pPr>
      <w:r w:rsidRPr="00B644BF">
        <w:rPr>
          <w:rFonts w:ascii="Times New Roman" w:eastAsia="Times New Roman" w:hAnsi="Times New Roman" w:cs="Times New Roman"/>
          <w:sz w:val="28"/>
          <w:szCs w:val="28"/>
          <w:bdr w:val="none" w:sz="0" w:space="0" w:color="auto" w:frame="1"/>
          <w:shd w:val="clear" w:color="auto" w:fill="FFFFFF"/>
        </w:rPr>
        <w:t>Оценка математического ожидания по этим данным E(R</w:t>
      </w:r>
      <w:r w:rsidRPr="00B644BF">
        <w:rPr>
          <w:rFonts w:ascii="Times New Roman" w:eastAsia="Times New Roman" w:hAnsi="Times New Roman" w:cs="Times New Roman"/>
          <w:sz w:val="28"/>
          <w:szCs w:val="28"/>
          <w:bdr w:val="none" w:sz="0" w:space="0" w:color="auto" w:frame="1"/>
          <w:shd w:val="clear" w:color="auto" w:fill="FFFFFF"/>
          <w:vertAlign w:val="subscript"/>
        </w:rPr>
        <w:t>2030</w:t>
      </w:r>
      <w:r w:rsidRPr="00B644BF">
        <w:rPr>
          <w:rFonts w:ascii="Times New Roman" w:eastAsia="Times New Roman" w:hAnsi="Times New Roman" w:cs="Times New Roman"/>
          <w:sz w:val="28"/>
          <w:szCs w:val="28"/>
          <w:bdr w:val="none" w:sz="0" w:space="0" w:color="auto" w:frame="1"/>
          <w:shd w:val="clear" w:color="auto" w:fill="FFFFFF"/>
        </w:rPr>
        <w:t>)= 58818 тыс. руб., дисперсия σ</w:t>
      </w:r>
      <w:r w:rsidRPr="00B644BF">
        <w:rPr>
          <w:rFonts w:ascii="Times New Roman" w:eastAsia="Times New Roman" w:hAnsi="Times New Roman" w:cs="Times New Roman"/>
          <w:sz w:val="28"/>
          <w:szCs w:val="28"/>
          <w:bdr w:val="none" w:sz="0" w:space="0" w:color="auto" w:frame="1"/>
          <w:shd w:val="clear" w:color="auto" w:fill="FFFFFF"/>
          <w:vertAlign w:val="subscript"/>
          <w:lang w:val="en-US"/>
        </w:rPr>
        <w:t>R</w:t>
      </w:r>
      <w:r w:rsidRPr="00B644BF">
        <w:rPr>
          <w:rFonts w:ascii="Times New Roman" w:eastAsia="Times New Roman" w:hAnsi="Times New Roman" w:cs="Times New Roman"/>
          <w:sz w:val="28"/>
          <w:szCs w:val="28"/>
          <w:bdr w:val="none" w:sz="0" w:space="0" w:color="auto" w:frame="1"/>
          <w:shd w:val="clear" w:color="auto" w:fill="FFFFFF"/>
          <w:vertAlign w:val="superscript"/>
        </w:rPr>
        <w:t>2</w:t>
      </w:r>
      <w:r w:rsidRPr="00B644BF">
        <w:rPr>
          <w:rFonts w:ascii="Times New Roman" w:eastAsia="Times New Roman" w:hAnsi="Times New Roman" w:cs="Times New Roman"/>
          <w:sz w:val="28"/>
          <w:szCs w:val="28"/>
          <w:bdr w:val="none" w:sz="0" w:space="0" w:color="auto" w:frame="1"/>
          <w:shd w:val="clear" w:color="auto" w:fill="FFFFFF"/>
        </w:rPr>
        <w:t xml:space="preserve">≈7 420 тыс. руб., коэффициент вариации </w:t>
      </w:r>
      <w:r w:rsidRPr="00B644BF">
        <w:rPr>
          <w:rFonts w:ascii="Times New Roman" w:eastAsia="Times New Roman" w:hAnsi="Times New Roman" w:cs="Times New Roman"/>
          <w:sz w:val="28"/>
          <w:szCs w:val="28"/>
          <w:bdr w:val="none" w:sz="0" w:space="0" w:color="auto" w:frame="1"/>
          <w:shd w:val="clear" w:color="auto" w:fill="FFFFFF"/>
          <w:lang w:val="en-US"/>
        </w:rPr>
        <w:t>CVR</w:t>
      </w:r>
      <w:r w:rsidRPr="00B644BF">
        <w:rPr>
          <w:rFonts w:ascii="Times New Roman" w:eastAsia="Times New Roman" w:hAnsi="Times New Roman" w:cs="Times New Roman"/>
          <w:sz w:val="28"/>
          <w:szCs w:val="28"/>
          <w:bdr w:val="none" w:sz="0" w:space="0" w:color="auto" w:frame="1"/>
          <w:shd w:val="clear" w:color="auto" w:fill="FFFFFF"/>
        </w:rPr>
        <w:t>=7 42058 818≈12,6%</w:t>
      </w:r>
      <w:r w:rsidRPr="00B644BF">
        <w:rPr>
          <w:rFonts w:ascii="Times New Roman" w:eastAsia="Times New Roman" w:hAnsi="Times New Roman" w:cs="Times New Roman"/>
          <w:sz w:val="28"/>
          <w:szCs w:val="28"/>
          <w:shd w:val="clear" w:color="auto" w:fill="FFFFFF"/>
        </w:rPr>
        <w:t xml:space="preserve">. </w:t>
      </w:r>
    </w:p>
    <w:p w:rsidR="00507CF9" w:rsidRPr="00B644BF" w:rsidRDefault="00507CF9" w:rsidP="00507CF9">
      <w:pPr>
        <w:spacing w:after="0" w:line="240" w:lineRule="auto"/>
        <w:ind w:firstLine="709"/>
        <w:jc w:val="both"/>
        <w:rPr>
          <w:rFonts w:ascii="Times New Roman" w:eastAsia="Times New Roman" w:hAnsi="Times New Roman" w:cs="Times New Roman"/>
          <w:b/>
          <w:bCs/>
          <w:sz w:val="28"/>
          <w:szCs w:val="28"/>
        </w:rPr>
      </w:pPr>
      <w:r w:rsidRPr="00B644BF">
        <w:rPr>
          <w:rFonts w:ascii="Times New Roman" w:eastAsia="Times New Roman" w:hAnsi="Times New Roman" w:cs="Times New Roman"/>
          <w:sz w:val="28"/>
          <w:szCs w:val="28"/>
          <w:shd w:val="clear" w:color="auto" w:fill="FFFFFF"/>
        </w:rPr>
        <w:t xml:space="preserve">Это означает, что </w:t>
      </w:r>
      <w:r w:rsidRPr="00B644BF">
        <w:rPr>
          <w:rFonts w:ascii="Times New Roman" w:eastAsia="Times New Roman" w:hAnsi="Times New Roman" w:cs="Times New Roman"/>
          <w:sz w:val="28"/>
          <w:szCs w:val="28"/>
        </w:rPr>
        <w:t>относительный риск экспортной выручки в пиковый год проекта оценивается в 12,6%, что требует формирования резерва ликвидности в размере не менее 15% от планового денежного потока.</w:t>
      </w:r>
      <w:r w:rsidRPr="00B644BF">
        <w:rPr>
          <w:rFonts w:ascii="Times New Roman" w:eastAsia="Times New Roman" w:hAnsi="Times New Roman" w:cs="Times New Roman"/>
          <w:b/>
          <w:bCs/>
          <w:sz w:val="28"/>
          <w:szCs w:val="28"/>
        </w:rPr>
        <w:t xml:space="preserve"> </w:t>
      </w:r>
    </w:p>
    <w:p w:rsidR="00507CF9" w:rsidRPr="00B644BF" w:rsidRDefault="00507CF9" w:rsidP="00507CF9">
      <w:pPr>
        <w:shd w:val="clear" w:color="auto" w:fill="FFFFFF"/>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rPr>
        <w:t xml:space="preserve">Еще одним распространенным инструментом для оценки инвестиционных проектов в условиях неопределенности является стохастическое моделирование методом  Монте-Карло.  </w:t>
      </w:r>
      <w:r w:rsidRPr="00B644BF">
        <w:rPr>
          <w:rFonts w:ascii="Times New Roman" w:hAnsi="Times New Roman" w:cs="Times New Roman"/>
          <w:sz w:val="28"/>
          <w:szCs w:val="28"/>
          <w:shd w:val="clear" w:color="auto" w:fill="FFFFFF"/>
        </w:rPr>
        <w:t xml:space="preserve">Используется, когда входные параметры известны приблизительно, но известно их статистическое распределение. </w:t>
      </w:r>
      <w:r w:rsidRPr="00B644BF">
        <w:rPr>
          <w:rFonts w:ascii="Times New Roman" w:eastAsia="Times New Roman" w:hAnsi="Times New Roman" w:cs="Times New Roman"/>
          <w:sz w:val="28"/>
          <w:szCs w:val="28"/>
        </w:rPr>
        <w:t>Применительно к анализу инвестиционных рисков это означает: вместо построения аналитического распределения показателя NPV генерируется большое количество случайных реализаций входных параметров (объём производства, цена, себестоимость, ставка дисконтирования), для каждой рассчитывается NPV, после чего проводится статистический анализ полученной совокупности значений. Данный метод требует качественных статистических данных или глубоких экспертных знаний для обоснованного выбора распределений и корреляций, что вносит элемент субъективности.</w:t>
      </w:r>
    </w:p>
    <w:p w:rsidR="00507CF9" w:rsidRPr="00B644BF" w:rsidRDefault="00507CF9" w:rsidP="00507CF9">
      <w:pPr>
        <w:shd w:val="clear" w:color="auto" w:fill="FFFFFF"/>
        <w:spacing w:after="0" w:line="240" w:lineRule="auto"/>
        <w:ind w:firstLine="709"/>
        <w:jc w:val="both"/>
        <w:outlineLvl w:val="2"/>
        <w:rPr>
          <w:rFonts w:ascii="Times New Roman" w:eastAsia="Times New Roman" w:hAnsi="Times New Roman" w:cs="Times New Roman"/>
          <w:sz w:val="28"/>
          <w:szCs w:val="28"/>
        </w:rPr>
      </w:pPr>
      <w:r w:rsidRPr="00B644BF">
        <w:rPr>
          <w:rFonts w:ascii="Times New Roman" w:eastAsia="Times New Roman" w:hAnsi="Times New Roman" w:cs="Times New Roman"/>
          <w:bCs/>
          <w:sz w:val="28"/>
          <w:szCs w:val="28"/>
        </w:rPr>
        <w:t xml:space="preserve"> Важным</w:t>
      </w:r>
      <w:r w:rsidRPr="00B644BF">
        <w:rPr>
          <w:rFonts w:ascii="Times New Roman" w:eastAsia="Times New Roman" w:hAnsi="Times New Roman" w:cs="Times New Roman"/>
          <w:b/>
          <w:bCs/>
          <w:sz w:val="28"/>
          <w:szCs w:val="28"/>
        </w:rPr>
        <w:t xml:space="preserve"> </w:t>
      </w:r>
      <w:r w:rsidRPr="00B644BF">
        <w:rPr>
          <w:rFonts w:ascii="Times New Roman" w:eastAsia="Times New Roman" w:hAnsi="Times New Roman" w:cs="Times New Roman"/>
          <w:sz w:val="28"/>
          <w:szCs w:val="28"/>
        </w:rPr>
        <w:t>элементом инвестиционного анализа является сценарный анализ, позволяющий определить жизнеспособность проекта в условиях неопределённости. Формально выделяются:</w:t>
      </w:r>
    </w:p>
    <w:p w:rsidR="00507CF9" w:rsidRPr="00B644BF" w:rsidRDefault="00507CF9" w:rsidP="00507CF9">
      <w:pPr>
        <w:shd w:val="clear" w:color="auto" w:fill="FFFFFF"/>
        <w:spacing w:after="0" w:line="240" w:lineRule="auto"/>
        <w:ind w:firstLine="709"/>
        <w:jc w:val="both"/>
        <w:outlineLvl w:val="2"/>
        <w:rPr>
          <w:rFonts w:ascii="Times New Roman" w:eastAsia="Times New Roman" w:hAnsi="Times New Roman" w:cs="Times New Roman"/>
          <w:sz w:val="28"/>
          <w:szCs w:val="28"/>
        </w:rPr>
      </w:pPr>
      <w:r w:rsidRPr="00E23467">
        <w:rPr>
          <w:rFonts w:ascii="Times New Roman" w:eastAsia="Times New Roman" w:hAnsi="Times New Roman" w:cs="Times New Roman"/>
          <w:i/>
          <w:sz w:val="28"/>
          <w:szCs w:val="28"/>
        </w:rPr>
        <w:t>Базовый</w:t>
      </w:r>
      <w:r w:rsidRPr="00E23467">
        <w:rPr>
          <w:rFonts w:ascii="Times New Roman" w:eastAsia="Times New Roman" w:hAnsi="Times New Roman" w:cs="Times New Roman"/>
          <w:bCs/>
          <w:i/>
          <w:sz w:val="28"/>
          <w:szCs w:val="28"/>
        </w:rPr>
        <w:t xml:space="preserve"> сценарий</w:t>
      </w:r>
      <w:r w:rsidRPr="00E23467">
        <w:rPr>
          <w:rFonts w:ascii="Times New Roman" w:eastAsia="Times New Roman" w:hAnsi="Times New Roman" w:cs="Times New Roman"/>
          <w:sz w:val="28"/>
          <w:szCs w:val="28"/>
        </w:rPr>
        <w:t>:</w:t>
      </w:r>
      <w:r w:rsidRPr="00B644BF">
        <w:rPr>
          <w:rFonts w:ascii="Times New Roman" w:eastAsia="Times New Roman" w:hAnsi="Times New Roman" w:cs="Times New Roman"/>
          <w:sz w:val="28"/>
          <w:szCs w:val="28"/>
        </w:rPr>
        <w:t xml:space="preserve"> вероятность одновременного достижения плановых объёма и цены реализации составляет ≈50%: </w:t>
      </w:r>
      <w:r w:rsidRPr="00B644BF">
        <w:rPr>
          <w:rFonts w:ascii="Times New Roman" w:eastAsia="Times New Roman" w:hAnsi="Times New Roman" w:cs="Times New Roman"/>
          <w:i/>
          <w:sz w:val="28"/>
          <w:szCs w:val="28"/>
          <w:bdr w:val="none" w:sz="0" w:space="0" w:color="auto" w:frame="1"/>
        </w:rPr>
        <w:t>P(Q</w:t>
      </w:r>
      <w:r w:rsidRPr="00B644BF">
        <w:rPr>
          <w:rFonts w:ascii="Times New Roman" w:eastAsia="Times New Roman" w:hAnsi="Times New Roman" w:cs="Times New Roman"/>
          <w:i/>
          <w:sz w:val="28"/>
          <w:szCs w:val="28"/>
          <w:bdr w:val="none" w:sz="0" w:space="0" w:color="auto" w:frame="1"/>
          <w:vertAlign w:val="subscript"/>
        </w:rPr>
        <w:t>base</w:t>
      </w:r>
      <w:r w:rsidRPr="00B644BF">
        <w:rPr>
          <w:rFonts w:ascii="Times New Roman" w:eastAsia="Times New Roman" w:hAnsi="Times New Roman" w:cs="Times New Roman"/>
          <w:i/>
          <w:sz w:val="28"/>
          <w:szCs w:val="28"/>
          <w:bdr w:val="none" w:sz="0" w:space="0" w:color="auto" w:frame="1"/>
        </w:rPr>
        <w:t>,P</w:t>
      </w:r>
      <w:r w:rsidRPr="00B644BF">
        <w:rPr>
          <w:rFonts w:ascii="Times New Roman" w:eastAsia="Times New Roman" w:hAnsi="Times New Roman" w:cs="Times New Roman"/>
          <w:i/>
          <w:sz w:val="28"/>
          <w:szCs w:val="28"/>
          <w:bdr w:val="none" w:sz="0" w:space="0" w:color="auto" w:frame="1"/>
          <w:vertAlign w:val="subscript"/>
        </w:rPr>
        <w:t>base</w:t>
      </w:r>
      <w:r w:rsidRPr="00B644BF">
        <w:rPr>
          <w:rFonts w:ascii="Times New Roman" w:eastAsia="Times New Roman" w:hAnsi="Times New Roman" w:cs="Times New Roman"/>
          <w:i/>
          <w:sz w:val="28"/>
          <w:szCs w:val="28"/>
          <w:bdr w:val="none" w:sz="0" w:space="0" w:color="auto" w:frame="1"/>
        </w:rPr>
        <w:t>)≈0,5</w:t>
      </w:r>
    </w:p>
    <w:p w:rsidR="00507CF9" w:rsidRPr="00B644BF" w:rsidRDefault="00507CF9" w:rsidP="00507CF9">
      <w:pPr>
        <w:shd w:val="clear" w:color="auto" w:fill="FFFFFF"/>
        <w:spacing w:after="0" w:line="240" w:lineRule="auto"/>
        <w:ind w:firstLine="709"/>
        <w:jc w:val="both"/>
        <w:outlineLvl w:val="2"/>
        <w:rPr>
          <w:rFonts w:ascii="Times New Roman" w:eastAsia="Times New Roman" w:hAnsi="Times New Roman" w:cs="Times New Roman"/>
          <w:sz w:val="28"/>
          <w:szCs w:val="28"/>
        </w:rPr>
      </w:pPr>
      <w:r w:rsidRPr="00E23467">
        <w:rPr>
          <w:rFonts w:ascii="Times New Roman" w:eastAsia="Times New Roman" w:hAnsi="Times New Roman" w:cs="Times New Roman"/>
          <w:bCs/>
          <w:i/>
          <w:sz w:val="28"/>
          <w:szCs w:val="28"/>
        </w:rPr>
        <w:t>Стресс-сценарий</w:t>
      </w:r>
      <w:r w:rsidRPr="00E23467">
        <w:rPr>
          <w:rFonts w:ascii="Times New Roman" w:eastAsia="Times New Roman" w:hAnsi="Times New Roman" w:cs="Times New Roman"/>
          <w:i/>
          <w:sz w:val="28"/>
          <w:szCs w:val="28"/>
        </w:rPr>
        <w:t>:</w:t>
      </w:r>
      <w:r w:rsidRPr="00B644BF">
        <w:rPr>
          <w:rFonts w:ascii="Times New Roman" w:eastAsia="Times New Roman" w:hAnsi="Times New Roman" w:cs="Times New Roman"/>
          <w:sz w:val="28"/>
          <w:szCs w:val="28"/>
        </w:rPr>
        <w:t xml:space="preserve"> совместное негативное отклонение </w:t>
      </w:r>
      <w:r w:rsidRPr="00B644BF">
        <w:rPr>
          <w:rFonts w:ascii="Times New Roman" w:eastAsia="Times New Roman" w:hAnsi="Times New Roman" w:cs="Times New Roman"/>
          <w:i/>
          <w:iCs/>
          <w:sz w:val="28"/>
          <w:szCs w:val="28"/>
        </w:rPr>
        <w:t>Q</w:t>
      </w:r>
      <w:r w:rsidRPr="00B644BF">
        <w:rPr>
          <w:rFonts w:ascii="Times New Roman" w:eastAsia="Times New Roman" w:hAnsi="Times New Roman" w:cs="Times New Roman"/>
          <w:sz w:val="28"/>
          <w:szCs w:val="28"/>
        </w:rPr>
        <w:t xml:space="preserve"> и </w:t>
      </w:r>
      <w:r w:rsidRPr="00B644BF">
        <w:rPr>
          <w:rFonts w:ascii="Times New Roman" w:eastAsia="Times New Roman" w:hAnsi="Times New Roman" w:cs="Times New Roman"/>
          <w:i/>
          <w:iCs/>
          <w:sz w:val="28"/>
          <w:szCs w:val="28"/>
        </w:rPr>
        <w:t>P</w:t>
      </w:r>
      <w:r w:rsidRPr="00B644BF">
        <w:rPr>
          <w:rFonts w:ascii="Times New Roman" w:eastAsia="Times New Roman" w:hAnsi="Times New Roman" w:cs="Times New Roman"/>
          <w:sz w:val="28"/>
          <w:szCs w:val="28"/>
        </w:rPr>
        <w:t xml:space="preserve"> на заданные квантили распределения (например, 5%-й перцентиль). Здесь </w:t>
      </w:r>
      <w:r w:rsidRPr="00B644BF">
        <w:rPr>
          <w:rFonts w:ascii="Times New Roman" w:eastAsia="Times New Roman" w:hAnsi="Times New Roman" w:cs="Times New Roman"/>
          <w:i/>
          <w:iCs/>
          <w:sz w:val="28"/>
          <w:szCs w:val="28"/>
        </w:rPr>
        <w:t>Q</w:t>
      </w:r>
      <w:r w:rsidRPr="00B644BF">
        <w:rPr>
          <w:rFonts w:ascii="Times New Roman" w:eastAsia="Times New Roman" w:hAnsi="Times New Roman" w:cs="Times New Roman"/>
          <w:sz w:val="28"/>
          <w:szCs w:val="28"/>
        </w:rPr>
        <w:t xml:space="preserve"> - объём реализации в натуральном выражении (МВт·ч, тонны гранул), </w:t>
      </w:r>
      <w:r w:rsidRPr="00B644BF">
        <w:rPr>
          <w:rFonts w:ascii="Times New Roman" w:eastAsia="Times New Roman" w:hAnsi="Times New Roman" w:cs="Times New Roman"/>
          <w:i/>
          <w:iCs/>
          <w:sz w:val="28"/>
          <w:szCs w:val="28"/>
        </w:rPr>
        <w:t xml:space="preserve">P </w:t>
      </w:r>
      <w:r w:rsidRPr="00B644BF">
        <w:rPr>
          <w:rFonts w:ascii="Times New Roman" w:eastAsia="Times New Roman" w:hAnsi="Times New Roman" w:cs="Times New Roman"/>
          <w:sz w:val="28"/>
          <w:szCs w:val="28"/>
        </w:rPr>
        <w:t xml:space="preserve">-  цена реализации единицы продукции (тыс. руб./единицу). Выручка </w:t>
      </w:r>
      <w:r w:rsidRPr="00B644BF">
        <w:rPr>
          <w:rFonts w:ascii="Times New Roman" w:eastAsia="Times New Roman" w:hAnsi="Times New Roman" w:cs="Times New Roman"/>
          <w:i/>
          <w:iCs/>
          <w:sz w:val="28"/>
          <w:szCs w:val="28"/>
        </w:rPr>
        <w:t>R</w:t>
      </w:r>
      <w:r w:rsidRPr="00B644BF">
        <w:rPr>
          <w:rFonts w:ascii="Times New Roman" w:eastAsia="Times New Roman" w:hAnsi="Times New Roman" w:cs="Times New Roman"/>
          <w:sz w:val="28"/>
          <w:szCs w:val="28"/>
        </w:rPr>
        <w:t>=</w:t>
      </w:r>
      <w:r w:rsidRPr="00B644BF">
        <w:rPr>
          <w:rFonts w:ascii="Times New Roman" w:eastAsia="Times New Roman" w:hAnsi="Times New Roman" w:cs="Times New Roman"/>
          <w:i/>
          <w:iCs/>
          <w:sz w:val="28"/>
          <w:szCs w:val="28"/>
        </w:rPr>
        <w:t>Q</w:t>
      </w:r>
      <w:r w:rsidRPr="00B644BF">
        <w:rPr>
          <w:rFonts w:ascii="Times New Roman" w:eastAsia="Times New Roman" w:hAnsi="Times New Roman" w:cs="Times New Roman"/>
          <w:sz w:val="28"/>
          <w:szCs w:val="28"/>
        </w:rPr>
        <w:t>×</w:t>
      </w:r>
      <w:r w:rsidRPr="00B644BF">
        <w:rPr>
          <w:rFonts w:ascii="Times New Roman" w:eastAsia="Times New Roman" w:hAnsi="Times New Roman" w:cs="Times New Roman"/>
          <w:i/>
          <w:iCs/>
          <w:sz w:val="28"/>
          <w:szCs w:val="28"/>
        </w:rPr>
        <w:t>P</w:t>
      </w:r>
      <w:r w:rsidRPr="00B644BF">
        <w:rPr>
          <w:rFonts w:ascii="Times New Roman" w:eastAsia="Times New Roman" w:hAnsi="Times New Roman" w:cs="Times New Roman"/>
          <w:sz w:val="28"/>
          <w:szCs w:val="28"/>
        </w:rPr>
        <w:t xml:space="preserve"> является ключевым показателем, чувствительным к изменениям обоих параметров.</w:t>
      </w:r>
    </w:p>
    <w:p w:rsidR="00507CF9" w:rsidRPr="00B644BF" w:rsidRDefault="00507CF9" w:rsidP="00507CF9">
      <w:pPr>
        <w:shd w:val="clear" w:color="auto" w:fill="FFFFFF"/>
        <w:spacing w:after="0" w:line="240" w:lineRule="auto"/>
        <w:ind w:firstLine="709"/>
        <w:jc w:val="both"/>
        <w:outlineLvl w:val="2"/>
        <w:rPr>
          <w:rFonts w:ascii="Times New Roman" w:eastAsia="Times New Roman" w:hAnsi="Times New Roman" w:cs="Times New Roman"/>
          <w:sz w:val="28"/>
          <w:szCs w:val="28"/>
        </w:rPr>
      </w:pPr>
      <w:r w:rsidRPr="00E23467">
        <w:rPr>
          <w:rFonts w:ascii="Times New Roman" w:eastAsia="Times New Roman" w:hAnsi="Times New Roman" w:cs="Times New Roman"/>
          <w:bCs/>
          <w:i/>
          <w:sz w:val="28"/>
          <w:szCs w:val="28"/>
        </w:rPr>
        <w:lastRenderedPageBreak/>
        <w:t>Сценарий разрыва логистики</w:t>
      </w:r>
      <w:r w:rsidRPr="00B644BF">
        <w:rPr>
          <w:rFonts w:ascii="Times New Roman" w:eastAsia="Times New Roman" w:hAnsi="Times New Roman" w:cs="Times New Roman"/>
          <w:sz w:val="28"/>
          <w:szCs w:val="28"/>
        </w:rPr>
        <w:t xml:space="preserve">: стресс-тест, при котором предполагается, что компания не может отгрузить 100% произведённой продукции из-за транспортных ограничений (нехватка вагонов-зерновозов, задержки на Ж/Д станциях), таможенных задержек, сезонных факторов (зимние ограничения, распутица), геополитических рисков или инфраструктурных сбоев. В модель вводится дисконтирующий фактор  </w:t>
      </w:r>
      <w:r w:rsidRPr="00B644BF">
        <w:rPr>
          <w:rFonts w:ascii="Times New Roman" w:eastAsia="Times New Roman" w:hAnsi="Times New Roman" w:cs="Times New Roman"/>
          <w:i/>
          <w:iCs/>
          <w:sz w:val="28"/>
          <w:szCs w:val="28"/>
        </w:rPr>
        <w:t>D</w:t>
      </w:r>
      <w:r w:rsidRPr="00B644BF">
        <w:rPr>
          <w:rFonts w:ascii="Times New Roman" w:eastAsia="Times New Roman" w:hAnsi="Times New Roman" w:cs="Times New Roman"/>
          <w:i/>
          <w:iCs/>
          <w:sz w:val="28"/>
          <w:szCs w:val="28"/>
          <w:vertAlign w:val="subscript"/>
        </w:rPr>
        <w:t>t</w:t>
      </w:r>
      <w:r w:rsidRPr="00B644BF">
        <w:rPr>
          <w:rFonts w:ascii="Times New Roman" w:eastAsia="Times New Roman" w:hAnsi="Times New Roman" w:cs="Times New Roman"/>
          <w:i/>
          <w:iCs/>
          <w:sz w:val="28"/>
          <w:szCs w:val="28"/>
        </w:rPr>
        <w:t xml:space="preserve"> </w:t>
      </w:r>
      <w:r w:rsidRPr="00B644BF">
        <w:rPr>
          <w:rFonts w:ascii="Cambria Math" w:eastAsia="Times New Roman" w:hAnsi="Cambria Math" w:cs="Times New Roman"/>
          <w:sz w:val="28"/>
          <w:szCs w:val="28"/>
        </w:rPr>
        <w:t>∈</w:t>
      </w:r>
      <w:r w:rsidRPr="00B644BF">
        <w:rPr>
          <w:rFonts w:ascii="Times New Roman" w:eastAsia="Times New Roman" w:hAnsi="Times New Roman" w:cs="Times New Roman"/>
          <w:sz w:val="28"/>
          <w:szCs w:val="28"/>
        </w:rPr>
        <w:t>[0,6;0,9] на объём товара, доступного к отгрузке.</w:t>
      </w:r>
    </w:p>
    <w:p w:rsidR="00507CF9" w:rsidRPr="00B644BF" w:rsidRDefault="00507CF9" w:rsidP="00507CF9">
      <w:pPr>
        <w:shd w:val="clear" w:color="auto" w:fill="FFFFFF"/>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rPr>
        <w:t>Критерием финансовой устойчивости выступает условие сохранения коэффициента покрытия долга (DSCR) выше порогового значения:</w:t>
      </w:r>
    </w:p>
    <w:p w:rsidR="00507CF9" w:rsidRPr="00B644BF" w:rsidRDefault="00507CF9" w:rsidP="00507CF9">
      <w:pPr>
        <w:spacing w:after="0" w:line="24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DSCR</m:t>
          </m:r>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Чистый</m:t>
              </m:r>
              <m:r>
                <w:rPr>
                  <w:rFonts w:ascii="Cambria Math" w:hAnsi="Times New Roman" w:cs="Times New Roman"/>
                  <w:sz w:val="28"/>
                  <w:szCs w:val="28"/>
                </w:rPr>
                <m:t xml:space="preserve"> </m:t>
              </m:r>
              <m:r>
                <w:rPr>
                  <w:rFonts w:ascii="Cambria Math" w:hAnsi="Times New Roman" w:cs="Times New Roman"/>
                  <w:sz w:val="28"/>
                  <w:szCs w:val="28"/>
                </w:rPr>
                <m:t>операционный</m:t>
              </m:r>
              <m:r>
                <w:rPr>
                  <w:rFonts w:ascii="Cambria Math" w:hAnsi="Times New Roman" w:cs="Times New Roman"/>
                  <w:sz w:val="28"/>
                  <w:szCs w:val="28"/>
                </w:rPr>
                <m:t xml:space="preserve"> </m:t>
              </m:r>
              <m:r>
                <w:rPr>
                  <w:rFonts w:ascii="Cambria Math" w:hAnsi="Times New Roman" w:cs="Times New Roman"/>
                  <w:sz w:val="28"/>
                  <w:szCs w:val="28"/>
                </w:rPr>
                <m:t>доход</m:t>
              </m:r>
            </m:num>
            <m:den>
              <m:r>
                <w:rPr>
                  <w:rFonts w:ascii="Cambria Math" w:hAnsi="Times New Roman" w:cs="Times New Roman"/>
                  <w:sz w:val="28"/>
                  <w:szCs w:val="28"/>
                </w:rPr>
                <m:t>Общая</m:t>
              </m:r>
              <m:r>
                <w:rPr>
                  <w:rFonts w:ascii="Cambria Math" w:hAnsi="Times New Roman" w:cs="Times New Roman"/>
                  <w:sz w:val="28"/>
                  <w:szCs w:val="28"/>
                </w:rPr>
                <m:t xml:space="preserve"> </m:t>
              </m:r>
              <m:r>
                <w:rPr>
                  <w:rFonts w:ascii="Cambria Math" w:hAnsi="Times New Roman" w:cs="Times New Roman"/>
                  <w:sz w:val="28"/>
                  <w:szCs w:val="28"/>
                </w:rPr>
                <m:t>сумма</m:t>
              </m:r>
              <m:r>
                <w:rPr>
                  <w:rFonts w:ascii="Cambria Math" w:hAnsi="Times New Roman" w:cs="Times New Roman"/>
                  <w:sz w:val="28"/>
                  <w:szCs w:val="28"/>
                </w:rPr>
                <m:t xml:space="preserve"> </m:t>
              </m:r>
              <m:r>
                <w:rPr>
                  <w:rFonts w:ascii="Cambria Math" w:hAnsi="Times New Roman" w:cs="Times New Roman"/>
                  <w:sz w:val="28"/>
                  <w:szCs w:val="28"/>
                </w:rPr>
                <m:t>обслуживания</m:t>
              </m:r>
              <m:r>
                <w:rPr>
                  <w:rFonts w:ascii="Cambria Math" w:hAnsi="Times New Roman" w:cs="Times New Roman"/>
                  <w:sz w:val="28"/>
                  <w:szCs w:val="28"/>
                </w:rPr>
                <m:t xml:space="preserve"> </m:t>
              </m:r>
              <m:r>
                <w:rPr>
                  <w:rFonts w:ascii="Cambria Math" w:hAnsi="Times New Roman" w:cs="Times New Roman"/>
                  <w:sz w:val="28"/>
                  <w:szCs w:val="28"/>
                </w:rPr>
                <m:t>долга</m:t>
              </m:r>
              <m:r>
                <w:rPr>
                  <w:rFonts w:ascii="Cambria Math" w:hAnsi="Times New Roman" w:cs="Times New Roman"/>
                  <w:sz w:val="28"/>
                  <w:szCs w:val="28"/>
                </w:rPr>
                <m:t xml:space="preserve"> (</m:t>
              </m:r>
              <m:r>
                <w:rPr>
                  <w:rFonts w:ascii="Cambria Math" w:hAnsi="Times New Roman" w:cs="Times New Roman"/>
                  <w:sz w:val="28"/>
                  <w:szCs w:val="28"/>
                </w:rPr>
                <m:t>тело</m:t>
              </m:r>
              <m:r>
                <w:rPr>
                  <w:rFonts w:ascii="Cambria Math" w:hAnsi="Times New Roman" w:cs="Times New Roman"/>
                  <w:sz w:val="28"/>
                  <w:szCs w:val="28"/>
                </w:rPr>
                <m:t>+</m:t>
              </m:r>
              <m:r>
                <w:rPr>
                  <w:rFonts w:ascii="Cambria Math" w:hAnsi="Times New Roman" w:cs="Times New Roman"/>
                  <w:sz w:val="28"/>
                  <w:szCs w:val="28"/>
                </w:rPr>
                <m:t>проценты</m:t>
              </m:r>
              <m:r>
                <w:rPr>
                  <w:rFonts w:ascii="Cambria Math" w:hAnsi="Times New Roman" w:cs="Times New Roman"/>
                  <w:sz w:val="28"/>
                  <w:szCs w:val="28"/>
                </w:rPr>
                <m:t>)</m:t>
              </m:r>
            </m:den>
          </m:f>
        </m:oMath>
      </m:oMathPara>
    </w:p>
    <w:p w:rsidR="00507CF9" w:rsidRPr="00B644BF" w:rsidRDefault="00507CF9" w:rsidP="00507CF9">
      <w:pPr>
        <w:spacing w:after="0" w:line="240" w:lineRule="auto"/>
        <w:ind w:firstLine="709"/>
        <w:jc w:val="both"/>
        <w:rPr>
          <w:rFonts w:ascii="Times New Roman" w:eastAsia="Times New Roman" w:hAnsi="Times New Roman" w:cs="Times New Roman"/>
          <w:sz w:val="28"/>
          <w:szCs w:val="28"/>
        </w:rPr>
      </w:pPr>
      <w:r w:rsidRPr="00B644BF">
        <w:rPr>
          <w:rFonts w:ascii="Times New Roman" w:hAnsi="Times New Roman" w:cs="Times New Roman"/>
          <w:sz w:val="28"/>
          <w:szCs w:val="28"/>
        </w:rPr>
        <w:t xml:space="preserve">DSCR &gt; 1: предприятие создает достаточно средств для оплаты текущих долгов. DSCR &lt; 1:  денежного потока недостаточно для обслуживания долга, возникает риск дефолта. </w:t>
      </w:r>
      <w:r w:rsidRPr="00B644BF">
        <w:rPr>
          <w:rFonts w:ascii="Times New Roman" w:eastAsia="Times New Roman" w:hAnsi="Times New Roman" w:cs="Times New Roman"/>
          <w:sz w:val="28"/>
          <w:szCs w:val="28"/>
        </w:rPr>
        <w:t xml:space="preserve">Нормальным считается </w:t>
      </w:r>
      <w:r w:rsidRPr="00B644BF">
        <w:rPr>
          <w:rFonts w:ascii="Times New Roman" w:eastAsia="Times New Roman" w:hAnsi="Times New Roman" w:cs="Times New Roman"/>
          <w:sz w:val="28"/>
          <w:szCs w:val="28"/>
          <w:bdr w:val="none" w:sz="0" w:space="0" w:color="auto" w:frame="1"/>
        </w:rPr>
        <w:t>DSCR</w:t>
      </w:r>
      <w:r w:rsidRPr="00B644BF">
        <w:rPr>
          <w:rFonts w:ascii="Times New Roman" w:eastAsia="Times New Roman" w:hAnsi="Times New Roman" w:cs="Times New Roman"/>
          <w:sz w:val="28"/>
          <w:szCs w:val="28"/>
        </w:rPr>
        <w:t xml:space="preserve"> диапазоне 1,5-2,5 (зависит от отрасли). Значения выше 3 могут указывать на нерациональную структуру капитала. </w:t>
      </w:r>
    </w:p>
    <w:p w:rsidR="00507CF9" w:rsidRPr="00B644BF" w:rsidRDefault="00507CF9" w:rsidP="00507CF9">
      <w:pPr>
        <w:shd w:val="clear" w:color="auto" w:fill="FFFFFF"/>
        <w:spacing w:after="0" w:line="240" w:lineRule="auto"/>
        <w:ind w:firstLine="709"/>
        <w:jc w:val="both"/>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rPr>
        <w:t xml:space="preserve">Таким образом, разработка мер по снижению сбытовых рисков должна базироваться на количественной оценке их влияния на математическое ожидание и дисперсию денежных потоков. К таким мерам относятся: диверсификация клиентского портфеля и рынков сбыта; хеджирование ценовых и валютных рисков; динамическое ценообразование и CRM-аналитика; формирование финансовых буферов и стохастическое управление ликвидностью.  Каждая из мер вносит вклад либо в повышение ожидаемой доходности, либо в снижение волатильности (или в ограничение вероятности дефицита ликвидности), что в совокупности повышает риск-адаптированную эффективность инвестиционного проекта. </w:t>
      </w:r>
    </w:p>
    <w:p w:rsidR="00507CF9" w:rsidRPr="00E23467" w:rsidRDefault="00507CF9" w:rsidP="00507CF9">
      <w:pPr>
        <w:widowControl w:val="0"/>
        <w:tabs>
          <w:tab w:val="left" w:pos="7200"/>
        </w:tabs>
        <w:spacing w:after="0" w:line="240" w:lineRule="auto"/>
        <w:ind w:firstLine="709"/>
        <w:jc w:val="center"/>
        <w:rPr>
          <w:rFonts w:ascii="Times New Roman" w:hAnsi="Times New Roman" w:cs="Times New Roman"/>
          <w:b/>
          <w:sz w:val="28"/>
          <w:szCs w:val="28"/>
          <w:lang w:val="be-BY"/>
        </w:rPr>
      </w:pPr>
      <w:r w:rsidRPr="00E23467">
        <w:rPr>
          <w:rFonts w:ascii="Times New Roman" w:hAnsi="Times New Roman" w:cs="Times New Roman"/>
          <w:b/>
          <w:sz w:val="28"/>
          <w:szCs w:val="28"/>
        </w:rPr>
        <w:t>Список литературы</w:t>
      </w:r>
    </w:p>
    <w:p w:rsidR="00507CF9" w:rsidRPr="00B644BF" w:rsidRDefault="00507CF9" w:rsidP="00507CF9">
      <w:pPr>
        <w:pStyle w:val="a7"/>
        <w:numPr>
          <w:ilvl w:val="0"/>
          <w:numId w:val="28"/>
        </w:numPr>
        <w:spacing w:after="0" w:line="240" w:lineRule="auto"/>
        <w:ind w:left="0" w:firstLine="0"/>
        <w:jc w:val="both"/>
        <w:rPr>
          <w:rFonts w:ascii="Times New Roman" w:hAnsi="Times New Roman" w:cs="Times New Roman"/>
        </w:rPr>
      </w:pPr>
      <w:r w:rsidRPr="00B644BF">
        <w:rPr>
          <w:rFonts w:ascii="Times New Roman" w:hAnsi="Times New Roman" w:cs="Times New Roman"/>
        </w:rPr>
        <w:t xml:space="preserve">Ковалев, В. В. Финансовый анализ: методы и процедуры / В. В. Ковалев. – 3-е изд., перераб. и доп. – Москва : Финансы и статистика, 2021. – 560 с. </w:t>
      </w:r>
    </w:p>
    <w:p w:rsidR="00507CF9" w:rsidRPr="00B644BF" w:rsidRDefault="00507CF9" w:rsidP="00507CF9">
      <w:pPr>
        <w:pStyle w:val="a7"/>
        <w:numPr>
          <w:ilvl w:val="0"/>
          <w:numId w:val="28"/>
        </w:numPr>
        <w:spacing w:after="0" w:line="240" w:lineRule="auto"/>
        <w:ind w:left="0" w:firstLine="0"/>
        <w:jc w:val="both"/>
        <w:rPr>
          <w:rFonts w:ascii="Times New Roman" w:hAnsi="Times New Roman" w:cs="Times New Roman"/>
        </w:rPr>
      </w:pPr>
      <w:r w:rsidRPr="00B644BF">
        <w:rPr>
          <w:rFonts w:ascii="Times New Roman" w:hAnsi="Times New Roman" w:cs="Times New Roman"/>
        </w:rPr>
        <w:t>Государственный</w:t>
      </w:r>
      <w:r w:rsidRPr="00B644BF">
        <w:rPr>
          <w:rFonts w:ascii="Times New Roman" w:hAnsi="Times New Roman" w:cs="Times New Roman"/>
          <w:bCs/>
        </w:rPr>
        <w:t xml:space="preserve"> стандарт Республики Беларусь СТБ </w:t>
      </w:r>
      <w:r w:rsidRPr="00B644BF">
        <w:rPr>
          <w:rFonts w:ascii="Times New Roman" w:hAnsi="Times New Roman" w:cs="Times New Roman"/>
          <w:bCs/>
          <w:lang w:val="en-US"/>
        </w:rPr>
        <w:t>ISO</w:t>
      </w:r>
      <w:r w:rsidRPr="00B644BF">
        <w:rPr>
          <w:rFonts w:ascii="Times New Roman" w:hAnsi="Times New Roman" w:cs="Times New Roman"/>
          <w:bCs/>
        </w:rPr>
        <w:t xml:space="preserve"> 31000-2020. </w:t>
      </w:r>
      <w:r w:rsidRPr="00B644BF">
        <w:rPr>
          <w:rFonts w:ascii="Times New Roman" w:hAnsi="Times New Roman" w:cs="Times New Roman"/>
        </w:rPr>
        <w:t>Менеджмент</w:t>
      </w:r>
      <w:r w:rsidRPr="00B644BF">
        <w:rPr>
          <w:rFonts w:ascii="Times New Roman" w:hAnsi="Times New Roman" w:cs="Times New Roman"/>
          <w:bCs/>
        </w:rPr>
        <w:t xml:space="preserve"> рисков. Руководящие указания. </w:t>
      </w:r>
      <w:r w:rsidRPr="00B644BF">
        <w:rPr>
          <w:rFonts w:ascii="Times New Roman" w:hAnsi="Times New Roman" w:cs="Times New Roman"/>
        </w:rPr>
        <w:t xml:space="preserve">[Электронный ресурс]. – Режим доступа: </w:t>
      </w:r>
      <w:hyperlink r:id="rId35" w:history="1">
        <w:r w:rsidRPr="00B644BF">
          <w:rPr>
            <w:rStyle w:val="a5"/>
            <w:rFonts w:ascii="Times New Roman" w:hAnsi="Times New Roman" w:cs="Times New Roman"/>
            <w:color w:val="auto"/>
          </w:rPr>
          <w:t>https://shop.belgiss.by/ru/gosudarstvennye-standarty/stb-iso-31000-2020</w:t>
        </w:r>
      </w:hyperlink>
      <w:r w:rsidRPr="00B644BF">
        <w:rPr>
          <w:rFonts w:ascii="Times New Roman" w:hAnsi="Times New Roman" w:cs="Times New Roman"/>
        </w:rPr>
        <w:t>– Дата доступа: 20.04.2026.</w:t>
      </w:r>
    </w:p>
    <w:p w:rsidR="007F244E" w:rsidRPr="00B644BF" w:rsidRDefault="007F244E">
      <w:pPr>
        <w:rPr>
          <w:rFonts w:ascii="Times New Roman" w:hAnsi="Times New Roman" w:cs="Times New Roman"/>
        </w:rPr>
      </w:pPr>
    </w:p>
    <w:p w:rsidR="007F244E" w:rsidRPr="00B644BF" w:rsidRDefault="007F244E" w:rsidP="005E1127">
      <w:pPr>
        <w:spacing w:after="0" w:line="240" w:lineRule="auto"/>
        <w:ind w:firstLine="709"/>
        <w:rPr>
          <w:rFonts w:ascii="Times New Roman" w:hAnsi="Times New Roman" w:cs="Times New Roman"/>
          <w:sz w:val="28"/>
          <w:szCs w:val="28"/>
        </w:rPr>
      </w:pPr>
      <w:r w:rsidRPr="00B644BF">
        <w:rPr>
          <w:rFonts w:ascii="Times New Roman" w:hAnsi="Times New Roman" w:cs="Times New Roman"/>
          <w:sz w:val="28"/>
          <w:szCs w:val="28"/>
        </w:rPr>
        <w:t>УДК 631.158 (476.6)</w:t>
      </w:r>
    </w:p>
    <w:p w:rsidR="007F244E" w:rsidRPr="00B644BF" w:rsidRDefault="007F244E" w:rsidP="005E1127">
      <w:pPr>
        <w:spacing w:after="0" w:line="240" w:lineRule="auto"/>
        <w:ind w:firstLine="709"/>
        <w:rPr>
          <w:rFonts w:ascii="Times New Roman" w:hAnsi="Times New Roman" w:cs="Times New Roman"/>
          <w:sz w:val="28"/>
          <w:szCs w:val="28"/>
        </w:rPr>
      </w:pPr>
    </w:p>
    <w:p w:rsidR="007F244E" w:rsidRPr="00B644BF" w:rsidRDefault="007F244E" w:rsidP="005E1127">
      <w:pPr>
        <w:spacing w:after="0" w:line="240" w:lineRule="auto"/>
        <w:ind w:firstLine="709"/>
        <w:jc w:val="center"/>
        <w:rPr>
          <w:rFonts w:ascii="Times New Roman" w:hAnsi="Times New Roman" w:cs="Times New Roman"/>
          <w:b/>
          <w:sz w:val="28"/>
          <w:szCs w:val="28"/>
        </w:rPr>
      </w:pPr>
      <w:r w:rsidRPr="00B644BF">
        <w:rPr>
          <w:rFonts w:ascii="Times New Roman" w:hAnsi="Times New Roman" w:cs="Times New Roman"/>
          <w:b/>
          <w:sz w:val="28"/>
          <w:szCs w:val="28"/>
        </w:rPr>
        <w:t>СИСТЕМА МОТИВАЦИИ ТРУДА И ЕЕ СОВЕРШЕНСТВОВАНИЕ В ЗАО «ГУДЕВИЧИ» МОСТОВСКОГО РАЙОНА ГРОДНЕНСКОЙ ОБЛАСТИ</w:t>
      </w:r>
    </w:p>
    <w:p w:rsidR="007F244E" w:rsidRPr="00B644BF" w:rsidRDefault="007F244E" w:rsidP="005E1127">
      <w:pPr>
        <w:spacing w:after="0" w:line="240" w:lineRule="auto"/>
        <w:ind w:firstLine="709"/>
        <w:jc w:val="center"/>
        <w:rPr>
          <w:rFonts w:ascii="Times New Roman" w:hAnsi="Times New Roman" w:cs="Times New Roman"/>
          <w:b/>
          <w:sz w:val="28"/>
          <w:szCs w:val="28"/>
        </w:rPr>
      </w:pPr>
    </w:p>
    <w:p w:rsidR="007F244E" w:rsidRPr="00B644BF" w:rsidRDefault="007F244E" w:rsidP="005E1127">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b/>
          <w:sz w:val="28"/>
          <w:szCs w:val="28"/>
        </w:rPr>
        <w:t>Чернов Алексей Сергеевич</w:t>
      </w:r>
    </w:p>
    <w:p w:rsidR="007F244E" w:rsidRPr="00B644BF" w:rsidRDefault="007F244E" w:rsidP="005E1127">
      <w:pPr>
        <w:spacing w:after="0" w:line="240" w:lineRule="auto"/>
        <w:ind w:firstLine="709"/>
        <w:jc w:val="center"/>
        <w:rPr>
          <w:rFonts w:ascii="Times New Roman" w:eastAsia="SimSun" w:hAnsi="Times New Roman" w:cs="Times New Roman"/>
          <w:sz w:val="28"/>
          <w:szCs w:val="28"/>
        </w:rPr>
      </w:pPr>
      <w:r w:rsidRPr="00B644BF">
        <w:rPr>
          <w:rFonts w:ascii="Times New Roman" w:eastAsia="SimSun" w:hAnsi="Times New Roman" w:cs="Times New Roman"/>
          <w:sz w:val="28"/>
          <w:szCs w:val="28"/>
        </w:rPr>
        <w:t xml:space="preserve">доцент кафедры экономики и управления на предприятии </w:t>
      </w:r>
    </w:p>
    <w:p w:rsidR="007F244E" w:rsidRPr="00B644BF" w:rsidRDefault="007F244E" w:rsidP="005E1127">
      <w:pPr>
        <w:spacing w:after="0" w:line="240" w:lineRule="auto"/>
        <w:ind w:firstLine="709"/>
        <w:jc w:val="center"/>
        <w:rPr>
          <w:rFonts w:ascii="Times New Roman" w:eastAsia="SimSun" w:hAnsi="Times New Roman" w:cs="Times New Roman"/>
          <w:sz w:val="28"/>
          <w:szCs w:val="28"/>
          <w:lang w:val="be-BY"/>
        </w:rPr>
      </w:pPr>
      <w:r w:rsidRPr="00B644BF">
        <w:rPr>
          <w:rFonts w:ascii="Times New Roman" w:eastAsia="SimSun" w:hAnsi="Times New Roman" w:cs="Times New Roman"/>
          <w:sz w:val="28"/>
          <w:szCs w:val="28"/>
        </w:rPr>
        <w:lastRenderedPageBreak/>
        <w:t>учреждения образования «Гродненский государственный университет имени Янки Купалы»; кандидат сельскохозяйственных наук, доцент</w:t>
      </w:r>
    </w:p>
    <w:p w:rsidR="007F244E" w:rsidRPr="00B644BF" w:rsidRDefault="007F244E" w:rsidP="005E1127">
      <w:pPr>
        <w:widowControl w:val="0"/>
        <w:tabs>
          <w:tab w:val="left" w:pos="7200"/>
        </w:tabs>
        <w:spacing w:after="0" w:line="240" w:lineRule="auto"/>
        <w:ind w:firstLine="709"/>
        <w:jc w:val="center"/>
        <w:rPr>
          <w:rFonts w:ascii="Times New Roman" w:eastAsia="SimSun" w:hAnsi="Times New Roman" w:cs="Times New Roman"/>
          <w:spacing w:val="-4"/>
          <w:sz w:val="28"/>
          <w:szCs w:val="28"/>
          <w:lang w:val="be-BY"/>
        </w:rPr>
      </w:pPr>
      <w:r w:rsidRPr="00B644BF">
        <w:rPr>
          <w:rFonts w:ascii="Times New Roman" w:eastAsia="SimSun" w:hAnsi="Times New Roman" w:cs="Times New Roman"/>
          <w:sz w:val="28"/>
          <w:szCs w:val="28"/>
        </w:rPr>
        <w:t>(г. Гродно, Беларусь)</w:t>
      </w:r>
    </w:p>
    <w:p w:rsidR="007F244E" w:rsidRPr="00B644BF" w:rsidRDefault="007F244E" w:rsidP="005E1127">
      <w:pPr>
        <w:spacing w:after="0" w:line="240" w:lineRule="auto"/>
        <w:ind w:firstLine="709"/>
        <w:jc w:val="center"/>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lang w:val="en-US"/>
        </w:rPr>
        <w:t>chernov</w:t>
      </w:r>
      <w:r w:rsidRPr="00B644BF">
        <w:rPr>
          <w:rFonts w:ascii="Times New Roman" w:eastAsia="Times New Roman" w:hAnsi="Times New Roman" w:cs="Times New Roman"/>
          <w:sz w:val="28"/>
          <w:szCs w:val="28"/>
        </w:rPr>
        <w:t>_</w:t>
      </w:r>
      <w:r w:rsidRPr="00B644BF">
        <w:rPr>
          <w:rFonts w:ascii="Times New Roman" w:eastAsia="Times New Roman" w:hAnsi="Times New Roman" w:cs="Times New Roman"/>
          <w:sz w:val="28"/>
          <w:szCs w:val="28"/>
          <w:lang w:val="en-US"/>
        </w:rPr>
        <w:t>as</w:t>
      </w:r>
      <w:r w:rsidRPr="00B644BF">
        <w:rPr>
          <w:rFonts w:ascii="Times New Roman" w:eastAsia="Times New Roman" w:hAnsi="Times New Roman" w:cs="Times New Roman"/>
          <w:sz w:val="28"/>
          <w:szCs w:val="28"/>
        </w:rPr>
        <w:t>@</w:t>
      </w:r>
      <w:r w:rsidRPr="00B644BF">
        <w:rPr>
          <w:rFonts w:ascii="Times New Roman" w:eastAsia="Times New Roman" w:hAnsi="Times New Roman" w:cs="Times New Roman"/>
          <w:sz w:val="28"/>
          <w:szCs w:val="28"/>
          <w:lang w:val="en-US"/>
        </w:rPr>
        <w:t>grsu</w:t>
      </w:r>
      <w:r w:rsidRPr="00B644BF">
        <w:rPr>
          <w:rFonts w:ascii="Times New Roman" w:eastAsia="Times New Roman" w:hAnsi="Times New Roman" w:cs="Times New Roman"/>
          <w:sz w:val="28"/>
          <w:szCs w:val="28"/>
        </w:rPr>
        <w:t>.</w:t>
      </w:r>
      <w:r w:rsidRPr="00B644BF">
        <w:rPr>
          <w:rFonts w:ascii="Times New Roman" w:eastAsia="Times New Roman" w:hAnsi="Times New Roman" w:cs="Times New Roman"/>
          <w:sz w:val="28"/>
          <w:szCs w:val="28"/>
          <w:lang w:val="en-US"/>
        </w:rPr>
        <w:t>by</w:t>
      </w:r>
    </w:p>
    <w:p w:rsidR="007F244E" w:rsidRPr="00B644BF" w:rsidRDefault="007F244E" w:rsidP="005E1127">
      <w:pPr>
        <w:spacing w:after="0" w:line="240" w:lineRule="auto"/>
        <w:ind w:firstLine="709"/>
        <w:jc w:val="center"/>
        <w:rPr>
          <w:rFonts w:ascii="Times New Roman" w:eastAsia="Times New Roman" w:hAnsi="Times New Roman" w:cs="Times New Roman"/>
          <w:b/>
          <w:sz w:val="28"/>
          <w:szCs w:val="28"/>
        </w:rPr>
      </w:pPr>
    </w:p>
    <w:p w:rsidR="007F244E" w:rsidRPr="00B644BF" w:rsidRDefault="007F244E" w:rsidP="005E1127">
      <w:pPr>
        <w:spacing w:after="0" w:line="240" w:lineRule="auto"/>
        <w:ind w:firstLine="709"/>
        <w:jc w:val="both"/>
        <w:rPr>
          <w:rFonts w:ascii="Times New Roman" w:hAnsi="Times New Roman" w:cs="Times New Roman"/>
          <w:sz w:val="24"/>
          <w:szCs w:val="24"/>
        </w:rPr>
      </w:pPr>
      <w:r w:rsidRPr="00B644BF">
        <w:rPr>
          <w:rFonts w:ascii="Times New Roman" w:eastAsia="SimSun" w:hAnsi="Times New Roman" w:cs="Times New Roman"/>
          <w:b/>
          <w:sz w:val="24"/>
          <w:szCs w:val="24"/>
        </w:rPr>
        <w:t>Аннотация.</w:t>
      </w:r>
      <w:r w:rsidRPr="00B644BF">
        <w:rPr>
          <w:rFonts w:ascii="Times New Roman" w:eastAsia="SimSun" w:hAnsi="Times New Roman" w:cs="Times New Roman"/>
          <w:sz w:val="24"/>
          <w:szCs w:val="24"/>
        </w:rPr>
        <w:t xml:space="preserve"> В работе проведен анализ </w:t>
      </w:r>
      <w:r w:rsidRPr="00B644BF">
        <w:rPr>
          <w:rFonts w:ascii="Times New Roman" w:hAnsi="Times New Roman" w:cs="Times New Roman"/>
          <w:sz w:val="24"/>
          <w:szCs w:val="24"/>
        </w:rPr>
        <w:t>системы мотивации труда работников ЗАО «Гудевичи» Мостовского района Гродненской области. Выявлены преобладающие факторы мотивации. Предложены мероприятия по совершенствованию мотивации труда работников анализируемого предприятия.</w:t>
      </w:r>
    </w:p>
    <w:p w:rsidR="007F244E" w:rsidRPr="00B644BF" w:rsidRDefault="007F244E" w:rsidP="005E1127">
      <w:pPr>
        <w:widowControl w:val="0"/>
        <w:tabs>
          <w:tab w:val="left" w:pos="7200"/>
        </w:tabs>
        <w:spacing w:after="0" w:line="240" w:lineRule="auto"/>
        <w:ind w:firstLine="709"/>
        <w:jc w:val="both"/>
        <w:rPr>
          <w:rFonts w:ascii="Times New Roman" w:eastAsia="SimSun" w:hAnsi="Times New Roman" w:cs="Times New Roman"/>
          <w:sz w:val="24"/>
          <w:szCs w:val="24"/>
        </w:rPr>
      </w:pPr>
      <w:r w:rsidRPr="00B644BF">
        <w:rPr>
          <w:rFonts w:ascii="Times New Roman" w:eastAsia="SimSun" w:hAnsi="Times New Roman" w:cs="Times New Roman"/>
          <w:b/>
          <w:sz w:val="24"/>
          <w:szCs w:val="24"/>
        </w:rPr>
        <w:t xml:space="preserve">Ключевые слова: </w:t>
      </w:r>
      <w:r w:rsidRPr="00B644BF">
        <w:rPr>
          <w:rFonts w:ascii="Times New Roman" w:eastAsia="SimSun" w:hAnsi="Times New Roman" w:cs="Times New Roman"/>
          <w:sz w:val="24"/>
          <w:szCs w:val="24"/>
        </w:rPr>
        <w:t xml:space="preserve">мотивация труда, заработная плата, премирование. </w:t>
      </w:r>
    </w:p>
    <w:p w:rsidR="007F244E" w:rsidRPr="00B644BF" w:rsidRDefault="007F244E" w:rsidP="005E1127">
      <w:pPr>
        <w:widowControl w:val="0"/>
        <w:tabs>
          <w:tab w:val="left" w:pos="7200"/>
        </w:tabs>
        <w:spacing w:after="0" w:line="240" w:lineRule="auto"/>
        <w:ind w:firstLine="709"/>
        <w:rPr>
          <w:rFonts w:ascii="Times New Roman" w:eastAsia="SimSun" w:hAnsi="Times New Roman" w:cs="Times New Roman"/>
          <w:sz w:val="24"/>
          <w:szCs w:val="24"/>
        </w:rPr>
      </w:pPr>
    </w:p>
    <w:p w:rsidR="007F244E" w:rsidRPr="00B644BF" w:rsidRDefault="007F244E" w:rsidP="005E1127">
      <w:pPr>
        <w:spacing w:after="0" w:line="240" w:lineRule="auto"/>
        <w:ind w:firstLine="709"/>
        <w:jc w:val="both"/>
        <w:rPr>
          <w:rFonts w:ascii="Times New Roman" w:hAnsi="Times New Roman" w:cs="Times New Roman"/>
          <w:bCs/>
          <w:sz w:val="28"/>
          <w:szCs w:val="28"/>
        </w:rPr>
      </w:pPr>
    </w:p>
    <w:p w:rsidR="007F244E" w:rsidRPr="00B644BF" w:rsidRDefault="007F244E" w:rsidP="005E1127">
      <w:pPr>
        <w:spacing w:after="0" w:line="240" w:lineRule="auto"/>
        <w:ind w:firstLine="709"/>
        <w:jc w:val="both"/>
        <w:rPr>
          <w:rFonts w:ascii="Times New Roman" w:hAnsi="Times New Roman" w:cs="Times New Roman"/>
          <w:bCs/>
          <w:sz w:val="28"/>
          <w:szCs w:val="28"/>
        </w:rPr>
      </w:pPr>
      <w:r w:rsidRPr="00B644BF">
        <w:rPr>
          <w:rFonts w:ascii="Times New Roman" w:hAnsi="Times New Roman" w:cs="Times New Roman"/>
          <w:bCs/>
          <w:sz w:val="28"/>
          <w:szCs w:val="28"/>
        </w:rPr>
        <w:t>Мотивация является одной из основных функций современного менеджмента, которая направлена на повышение эффективности труда работников организации [2</w:t>
      </w:r>
      <w:r w:rsidRPr="00B644BF">
        <w:rPr>
          <w:rFonts w:ascii="Times New Roman" w:eastAsia="SimSun" w:hAnsi="Times New Roman" w:cs="Times New Roman"/>
          <w:sz w:val="28"/>
          <w:szCs w:val="28"/>
        </w:rPr>
        <w:t>, с. 36</w:t>
      </w:r>
      <w:r w:rsidRPr="00B644BF">
        <w:rPr>
          <w:rFonts w:ascii="Times New Roman" w:hAnsi="Times New Roman" w:cs="Times New Roman"/>
          <w:sz w:val="28"/>
          <w:szCs w:val="28"/>
        </w:rPr>
        <w:t>].</w:t>
      </w:r>
    </w:p>
    <w:p w:rsidR="007F244E" w:rsidRPr="00B644BF" w:rsidRDefault="007F244E" w:rsidP="005E112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bCs/>
          <w:sz w:val="28"/>
          <w:szCs w:val="28"/>
        </w:rPr>
        <w:t xml:space="preserve">Хотя проблема мотивации всегда занимала центральное место в управлении персоналом, ее научное и практическое решение и сегодня не соответствует требованиям времени. Это объясняется не только сложностью самого процесса мотивации, но и непрерывными изменениями, которые со временем происходят с человеком, с производством и управлением </w:t>
      </w:r>
      <w:r w:rsidRPr="00B644BF">
        <w:rPr>
          <w:rFonts w:ascii="Times New Roman" w:hAnsi="Times New Roman" w:cs="Times New Roman"/>
          <w:sz w:val="28"/>
          <w:szCs w:val="28"/>
        </w:rPr>
        <w:t>[1,</w:t>
      </w:r>
      <w:r w:rsidRPr="00B644BF">
        <w:rPr>
          <w:rFonts w:ascii="Times New Roman" w:eastAsia="SimSun" w:hAnsi="Times New Roman" w:cs="Times New Roman"/>
          <w:sz w:val="28"/>
          <w:szCs w:val="28"/>
        </w:rPr>
        <w:t xml:space="preserve"> с. 84</w:t>
      </w:r>
      <w:r w:rsidRPr="00B644BF">
        <w:rPr>
          <w:rFonts w:ascii="Times New Roman" w:hAnsi="Times New Roman" w:cs="Times New Roman"/>
          <w:sz w:val="28"/>
          <w:szCs w:val="28"/>
        </w:rPr>
        <w:t xml:space="preserve">]. </w:t>
      </w:r>
      <w:r w:rsidRPr="00B644BF">
        <w:rPr>
          <w:rFonts w:ascii="Times New Roman" w:hAnsi="Times New Roman" w:cs="Times New Roman"/>
          <w:bCs/>
          <w:sz w:val="28"/>
          <w:szCs w:val="28"/>
        </w:rPr>
        <w:t xml:space="preserve">Мотивация персонала на каждом конкретном предприятии требует своего, во многом специфичного подхода к работникам, поскольку именно люди являются главным стратегическим ресурсом организации и во многом определяют эффективность ее деятельности </w:t>
      </w:r>
      <w:r w:rsidRPr="00B644BF">
        <w:rPr>
          <w:rFonts w:ascii="Times New Roman" w:hAnsi="Times New Roman" w:cs="Times New Roman"/>
          <w:sz w:val="28"/>
          <w:szCs w:val="28"/>
        </w:rPr>
        <w:t>[</w:t>
      </w:r>
      <w:r w:rsidRPr="00B644BF">
        <w:rPr>
          <w:rFonts w:ascii="Times New Roman" w:eastAsia="SimSun" w:hAnsi="Times New Roman" w:cs="Times New Roman"/>
          <w:sz w:val="28"/>
          <w:szCs w:val="28"/>
        </w:rPr>
        <w:t>3, с. 47</w:t>
      </w:r>
      <w:r w:rsidRPr="00B644BF">
        <w:rPr>
          <w:rFonts w:ascii="Times New Roman" w:hAnsi="Times New Roman" w:cs="Times New Roman"/>
          <w:sz w:val="28"/>
          <w:szCs w:val="28"/>
        </w:rPr>
        <w:t>].</w:t>
      </w:r>
    </w:p>
    <w:p w:rsidR="007F244E" w:rsidRPr="00B644BF" w:rsidRDefault="007F244E" w:rsidP="005E112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bCs/>
          <w:sz w:val="28"/>
          <w:szCs w:val="28"/>
        </w:rPr>
        <w:t xml:space="preserve">Целью данного исследования является анализ системы мотивации труда работников ЗАО «Гудевичи» Мостовского района Гродненской области </w:t>
      </w:r>
      <w:r w:rsidRPr="00B644BF">
        <w:rPr>
          <w:rFonts w:ascii="Times New Roman" w:hAnsi="Times New Roman" w:cs="Times New Roman"/>
          <w:sz w:val="28"/>
          <w:szCs w:val="28"/>
        </w:rPr>
        <w:t>и разработка мероприятий по ее совершенствованию.</w:t>
      </w:r>
    </w:p>
    <w:p w:rsidR="007F244E" w:rsidRPr="00B644BF" w:rsidRDefault="007F244E" w:rsidP="005E1127">
      <w:pPr>
        <w:spacing w:after="0" w:line="240" w:lineRule="auto"/>
        <w:ind w:firstLine="709"/>
        <w:jc w:val="both"/>
        <w:rPr>
          <w:rFonts w:ascii="Times New Roman" w:hAnsi="Times New Roman" w:cs="Times New Roman"/>
          <w:bCs/>
          <w:sz w:val="28"/>
          <w:szCs w:val="28"/>
        </w:rPr>
      </w:pPr>
      <w:r w:rsidRPr="00B644BF">
        <w:rPr>
          <w:rFonts w:ascii="Times New Roman" w:hAnsi="Times New Roman" w:cs="Times New Roman"/>
          <w:bCs/>
          <w:sz w:val="28"/>
          <w:szCs w:val="28"/>
        </w:rPr>
        <w:t>В ЗАО «Гудевичи» применяется комплексная система мотивации, сочетающая материальные и моральные стимулы. Базовым элементом материального поощрения является заработная плата, которая начисляется на основании штатного расписания и фактически отработанного времени. Фонд оплаты труда формируется из должностных окладов, дополненных системой надбавок (за стаж, интенсивность и сложность труда), а также премиальных выплат по итогам финансовой деятельности, вознаграждений за годовые результаты и иных стимулирующих начислений.</w:t>
      </w:r>
    </w:p>
    <w:p w:rsidR="007F244E" w:rsidRPr="00B644BF" w:rsidRDefault="007F244E" w:rsidP="005E112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Заработная плата на предприятии остается довольно высокой, даже по сравнению с аналогичными хозяйствами Гродненской области. Так, среднемесячная зарплата у руководителя хозяйства составляет 7250 руб., у специалистов – 3726 руб., у трактористов-машинистов – 2600 руб., у водителей – 2280 руб., у рабочих, обслуживающих молодняк всех возрастов и взрослый скот на откорме – 3119 руб., у рабочих, занятых на конно-ручных работах, в растениеводстве и на прочих работах – 1356 руб. </w:t>
      </w:r>
      <w:r w:rsidRPr="00B644BF">
        <w:rPr>
          <w:rFonts w:ascii="Times New Roman" w:hAnsi="Times New Roman" w:cs="Times New Roman"/>
          <w:sz w:val="28"/>
          <w:szCs w:val="28"/>
        </w:rPr>
        <w:lastRenderedPageBreak/>
        <w:t xml:space="preserve">Следует отметить, что хозяйство имеет большое количество социальных программ, направленных на поддержание благосостояния своих работников. </w:t>
      </w:r>
    </w:p>
    <w:p w:rsidR="007F244E" w:rsidRPr="00B644BF" w:rsidRDefault="007F244E" w:rsidP="005E1127">
      <w:pPr>
        <w:spacing w:after="0" w:line="240" w:lineRule="auto"/>
        <w:ind w:firstLine="709"/>
        <w:jc w:val="both"/>
        <w:rPr>
          <w:rFonts w:ascii="Times New Roman" w:hAnsi="Times New Roman" w:cs="Times New Roman"/>
          <w:bCs/>
          <w:sz w:val="28"/>
          <w:szCs w:val="28"/>
        </w:rPr>
      </w:pPr>
      <w:r w:rsidRPr="00B644BF">
        <w:rPr>
          <w:rFonts w:ascii="Times New Roman" w:hAnsi="Times New Roman" w:cs="Times New Roman"/>
          <w:bCs/>
          <w:sz w:val="28"/>
          <w:szCs w:val="28"/>
        </w:rPr>
        <w:t xml:space="preserve">Помимо денежных выплат, в ЗАО «Гудевичи» активно применяется система нематериального поощрения. Она включает организацию досуга и спортивных мероприятий, поддержание комфортной рабочей среды, а также программы профессионального роста и обучения сотрудников. </w:t>
      </w:r>
    </w:p>
    <w:p w:rsidR="007F244E" w:rsidRPr="00B644BF" w:rsidRDefault="007F244E" w:rsidP="005E1127">
      <w:pPr>
        <w:spacing w:after="0" w:line="240" w:lineRule="auto"/>
        <w:ind w:firstLine="709"/>
        <w:jc w:val="both"/>
        <w:rPr>
          <w:rFonts w:ascii="Times New Roman" w:eastAsia="Times New Roman" w:hAnsi="Times New Roman" w:cs="Times New Roman"/>
          <w:sz w:val="28"/>
          <w:szCs w:val="28"/>
        </w:rPr>
      </w:pPr>
      <w:r w:rsidRPr="00B644BF">
        <w:rPr>
          <w:rFonts w:ascii="Times New Roman" w:hAnsi="Times New Roman" w:cs="Times New Roman"/>
          <w:bCs/>
          <w:sz w:val="28"/>
          <w:szCs w:val="28"/>
        </w:rPr>
        <w:t>Для оценки эффективности текущих методов стимулирования и поиска способов их улучшения среди персонала было проведено анкетирование. Структура опроса охватывала шесть ключевых направлений: удовлетворенность работой; организация рабочих мест;</w:t>
      </w:r>
      <w:r w:rsidRPr="00B644BF">
        <w:rPr>
          <w:rFonts w:ascii="Times New Roman" w:eastAsia="Times New Roman" w:hAnsi="Times New Roman" w:cs="Times New Roman"/>
          <w:sz w:val="28"/>
          <w:szCs w:val="28"/>
        </w:rPr>
        <w:t xml:space="preserve"> удовлетворенность материальным вознаграждением; н</w:t>
      </w:r>
      <w:r w:rsidRPr="00B644BF">
        <w:rPr>
          <w:rFonts w:ascii="Times New Roman" w:hAnsi="Times New Roman" w:cs="Times New Roman"/>
          <w:bCs/>
          <w:sz w:val="28"/>
          <w:szCs w:val="28"/>
        </w:rPr>
        <w:t>аличие и характер конфликтов в коллективе; оценка перспектив карьерного роста; доступность программ дополнительного образования и повышения квалификации.</w:t>
      </w:r>
      <w:r w:rsidRPr="00B644BF">
        <w:rPr>
          <w:rFonts w:ascii="Times New Roman" w:eastAsia="Times New Roman" w:hAnsi="Times New Roman" w:cs="Times New Roman"/>
          <w:sz w:val="28"/>
          <w:szCs w:val="28"/>
        </w:rPr>
        <w:t xml:space="preserve"> </w:t>
      </w:r>
    </w:p>
    <w:p w:rsidR="007F244E" w:rsidRPr="00B644BF" w:rsidRDefault="007F244E" w:rsidP="005E1127">
      <w:pPr>
        <w:spacing w:after="0" w:line="240" w:lineRule="auto"/>
        <w:ind w:firstLine="709"/>
        <w:jc w:val="both"/>
        <w:rPr>
          <w:rFonts w:ascii="Times New Roman" w:eastAsia="Times New Roman" w:hAnsi="Times New Roman" w:cs="Times New Roman"/>
          <w:noProof/>
          <w:sz w:val="28"/>
          <w:szCs w:val="28"/>
        </w:rPr>
      </w:pPr>
      <w:r w:rsidRPr="00B644BF">
        <w:rPr>
          <w:rFonts w:ascii="Times New Roman" w:eastAsia="Times New Roman" w:hAnsi="Times New Roman" w:cs="Times New Roman"/>
          <w:noProof/>
          <w:sz w:val="28"/>
          <w:szCs w:val="28"/>
        </w:rPr>
        <w:t>В анкетировании приняло участие 30 человека, из них 5 руководителей, 10 специалистов и 15 рабочих.</w:t>
      </w:r>
    </w:p>
    <w:p w:rsidR="007F244E" w:rsidRPr="00B644BF" w:rsidRDefault="007F244E" w:rsidP="005E1127">
      <w:pPr>
        <w:spacing w:after="0" w:line="240" w:lineRule="auto"/>
        <w:ind w:firstLine="709"/>
        <w:jc w:val="both"/>
        <w:rPr>
          <w:rFonts w:ascii="Times New Roman" w:hAnsi="Times New Roman" w:cs="Times New Roman"/>
          <w:noProof/>
          <w:sz w:val="28"/>
          <w:szCs w:val="28"/>
        </w:rPr>
      </w:pPr>
      <w:r w:rsidRPr="00B644BF">
        <w:rPr>
          <w:rFonts w:ascii="Times New Roman" w:hAnsi="Times New Roman" w:cs="Times New Roman"/>
          <w:noProof/>
          <w:sz w:val="28"/>
          <w:szCs w:val="28"/>
        </w:rPr>
        <w:t xml:space="preserve">Подводя общие итоги анализа </w:t>
      </w:r>
      <w:r w:rsidRPr="00B644BF">
        <w:rPr>
          <w:rFonts w:ascii="Times New Roman" w:hAnsi="Times New Roman" w:cs="Times New Roman"/>
          <w:sz w:val="28"/>
          <w:szCs w:val="28"/>
        </w:rPr>
        <w:t xml:space="preserve">мотивации труда работников ЗАО «Гудевичи» </w:t>
      </w:r>
      <w:r w:rsidRPr="00B644BF">
        <w:rPr>
          <w:rFonts w:ascii="Times New Roman" w:hAnsi="Times New Roman" w:cs="Times New Roman"/>
          <w:noProof/>
          <w:sz w:val="28"/>
          <w:szCs w:val="28"/>
        </w:rPr>
        <w:t>можно выделить следующее:</w:t>
      </w:r>
    </w:p>
    <w:p w:rsidR="007F244E" w:rsidRPr="00B644BF" w:rsidRDefault="007F244E" w:rsidP="005E1127">
      <w:pPr>
        <w:spacing w:after="0" w:line="240" w:lineRule="auto"/>
        <w:ind w:firstLine="709"/>
        <w:jc w:val="both"/>
        <w:rPr>
          <w:rFonts w:ascii="Times New Roman" w:hAnsi="Times New Roman" w:cs="Times New Roman"/>
          <w:noProof/>
          <w:sz w:val="28"/>
          <w:szCs w:val="28"/>
        </w:rPr>
      </w:pPr>
      <w:r w:rsidRPr="00B644BF">
        <w:rPr>
          <w:rFonts w:ascii="Times New Roman" w:hAnsi="Times New Roman" w:cs="Times New Roman"/>
          <w:noProof/>
          <w:sz w:val="28"/>
          <w:szCs w:val="28"/>
        </w:rPr>
        <w:t xml:space="preserve">1. Персонал демонстрирует высокий уровень удовлетворенности производственным процессом. В частности, 76,7% и 80% респондентов положительно оценивают организацию рабочих мест и график работы. Кроме того, почти половина сотрудников (46,7%) отмечает </w:t>
      </w:r>
      <w:r w:rsidRPr="00B644BF">
        <w:rPr>
          <w:rFonts w:ascii="Times New Roman" w:hAnsi="Times New Roman" w:cs="Times New Roman"/>
          <w:noProof/>
          <w:spacing w:val="-4"/>
          <w:sz w:val="28"/>
          <w:szCs w:val="28"/>
        </w:rPr>
        <w:t>возможности для проявления самостоятельности</w:t>
      </w:r>
      <w:r w:rsidRPr="00B644BF">
        <w:rPr>
          <w:rFonts w:ascii="Times New Roman" w:hAnsi="Times New Roman" w:cs="Times New Roman"/>
          <w:noProof/>
          <w:sz w:val="28"/>
          <w:szCs w:val="28"/>
        </w:rPr>
        <w:t xml:space="preserve"> и инициативы.</w:t>
      </w:r>
    </w:p>
    <w:p w:rsidR="007F244E" w:rsidRPr="00B644BF" w:rsidRDefault="007F244E" w:rsidP="005E1127">
      <w:pPr>
        <w:spacing w:after="0" w:line="240" w:lineRule="auto"/>
        <w:ind w:firstLine="709"/>
        <w:jc w:val="both"/>
        <w:rPr>
          <w:rFonts w:ascii="Times New Roman" w:hAnsi="Times New Roman" w:cs="Times New Roman"/>
          <w:noProof/>
          <w:sz w:val="28"/>
          <w:szCs w:val="28"/>
        </w:rPr>
      </w:pPr>
      <w:r w:rsidRPr="00B644BF">
        <w:rPr>
          <w:rFonts w:ascii="Times New Roman" w:hAnsi="Times New Roman" w:cs="Times New Roman"/>
          <w:noProof/>
          <w:sz w:val="28"/>
          <w:szCs w:val="28"/>
        </w:rPr>
        <w:t>2. Выявлен недостаточный уровень удовлетворенности оплатой труда (40% недовольных). Данный фактор выступает серьезным барьером для роста трудовой активности и негативно влияет на общую эффективность производства.</w:t>
      </w:r>
    </w:p>
    <w:p w:rsidR="007F244E" w:rsidRPr="00B644BF" w:rsidRDefault="007F244E" w:rsidP="005E1127">
      <w:pPr>
        <w:spacing w:after="0" w:line="240" w:lineRule="auto"/>
        <w:ind w:firstLine="709"/>
        <w:jc w:val="both"/>
        <w:rPr>
          <w:rFonts w:ascii="Times New Roman" w:hAnsi="Times New Roman" w:cs="Times New Roman"/>
          <w:noProof/>
          <w:sz w:val="28"/>
          <w:szCs w:val="28"/>
        </w:rPr>
      </w:pPr>
      <w:r w:rsidRPr="00B644BF">
        <w:rPr>
          <w:rFonts w:ascii="Times New Roman" w:hAnsi="Times New Roman" w:cs="Times New Roman"/>
          <w:noProof/>
          <w:spacing w:val="-4"/>
          <w:sz w:val="28"/>
          <w:szCs w:val="28"/>
        </w:rPr>
        <w:t>3</w:t>
      </w:r>
      <w:r w:rsidRPr="00B644BF">
        <w:rPr>
          <w:rFonts w:ascii="Times New Roman" w:hAnsi="Times New Roman" w:cs="Times New Roman"/>
          <w:noProof/>
          <w:sz w:val="28"/>
          <w:szCs w:val="28"/>
        </w:rPr>
        <w:t>. В организации наблюдается дефицит нематериального стимулирования и межличностная напряженность. Наличие конфликтных ситуаций привело к тому, что каждый третий работник (33,3%) выражает желание перейти в другое подразделение</w:t>
      </w:r>
    </w:p>
    <w:p w:rsidR="007F244E" w:rsidRPr="00B644BF" w:rsidRDefault="007F244E" w:rsidP="005E1127">
      <w:pPr>
        <w:spacing w:after="0" w:line="240" w:lineRule="auto"/>
        <w:ind w:firstLine="709"/>
        <w:jc w:val="both"/>
        <w:rPr>
          <w:rFonts w:ascii="Times New Roman" w:hAnsi="Times New Roman" w:cs="Times New Roman"/>
          <w:noProof/>
          <w:spacing w:val="-4"/>
          <w:sz w:val="28"/>
          <w:szCs w:val="28"/>
        </w:rPr>
      </w:pPr>
      <w:r w:rsidRPr="00B644BF">
        <w:rPr>
          <w:rFonts w:ascii="Times New Roman" w:hAnsi="Times New Roman" w:cs="Times New Roman"/>
          <w:noProof/>
          <w:spacing w:val="-4"/>
          <w:sz w:val="28"/>
          <w:szCs w:val="28"/>
        </w:rPr>
        <w:t>4. Большинство опрошенных (56,7%) констатируют отсутствие возможностей для должностного и профессионального развития, что дестимулирует кадровый потенциал.</w:t>
      </w:r>
    </w:p>
    <w:p w:rsidR="007F244E" w:rsidRPr="00B644BF" w:rsidRDefault="007F244E" w:rsidP="005E1127">
      <w:pPr>
        <w:spacing w:after="0" w:line="240" w:lineRule="auto"/>
        <w:ind w:firstLine="709"/>
        <w:jc w:val="both"/>
        <w:rPr>
          <w:rFonts w:ascii="Times New Roman" w:hAnsi="Times New Roman" w:cs="Times New Roman"/>
          <w:noProof/>
          <w:spacing w:val="-4"/>
          <w:sz w:val="28"/>
          <w:szCs w:val="28"/>
        </w:rPr>
      </w:pPr>
      <w:r w:rsidRPr="00B644BF">
        <w:rPr>
          <w:rFonts w:ascii="Times New Roman" w:hAnsi="Times New Roman" w:cs="Times New Roman"/>
          <w:noProof/>
          <w:spacing w:val="-4"/>
          <w:sz w:val="28"/>
          <w:szCs w:val="28"/>
        </w:rPr>
        <w:t>5. В анализируемом хозяйстве отсутствует мотивирующая окружающая обстановка.</w:t>
      </w:r>
      <w:r w:rsidRPr="00B644BF">
        <w:rPr>
          <w:rFonts w:ascii="Times New Roman" w:eastAsia="Times New Roman" w:hAnsi="Times New Roman" w:cs="Times New Roman"/>
          <w:sz w:val="23"/>
          <w:szCs w:val="23"/>
        </w:rPr>
        <w:t xml:space="preserve"> </w:t>
      </w:r>
      <w:r w:rsidRPr="00B644BF">
        <w:rPr>
          <w:rFonts w:ascii="Times New Roman" w:hAnsi="Times New Roman" w:cs="Times New Roman"/>
          <w:noProof/>
          <w:spacing w:val="-4"/>
          <w:sz w:val="28"/>
          <w:szCs w:val="28"/>
        </w:rPr>
        <w:t>Ориентиры персонала смещены в сторону формального выполнения обязанностей ради заработка. Отсутствие командного единства и общих ценностей снижает результативность деятельности предприятия.</w:t>
      </w:r>
    </w:p>
    <w:p w:rsidR="007F244E" w:rsidRPr="00B644BF" w:rsidRDefault="007F244E" w:rsidP="005E112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Для выявления мотивационных факторов работников анализируемого предприятия нами был проведен социологический опрос (тестирование) по методике Ш. Ричи и П. Мартина. Применяемая методика </w:t>
      </w:r>
      <w:r w:rsidRPr="00B644BF">
        <w:rPr>
          <w:rFonts w:ascii="Times New Roman" w:hAnsi="Times New Roman" w:cs="Times New Roman"/>
          <w:sz w:val="28"/>
          <w:szCs w:val="28"/>
        </w:rPr>
        <w:lastRenderedPageBreak/>
        <w:t xml:space="preserve">позволила выявить потребности и стремления работников, и тем самым получить представление об их мотивационных факторах. </w:t>
      </w:r>
    </w:p>
    <w:p w:rsidR="007F244E" w:rsidRPr="00B644BF" w:rsidRDefault="007F244E" w:rsidP="005E112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Тест состоял из 33 вопросов, после ответа на которые, были подсчитаны баллы, на основании которых построена диаграмма для каждого сотрудника и определены преобладающие факторы мотивации. В опросе приняли участие 30 сотрудников: 10 специалистов, среди которых планово-экономический отдел, бухгалтерия, отдел кадров, диспетчерская, а также 20 рабочих, занятых на производстве. </w:t>
      </w:r>
    </w:p>
    <w:p w:rsidR="007F244E" w:rsidRPr="00B644BF" w:rsidRDefault="007F244E" w:rsidP="005E112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Проведенное тестирование позволило сегментировать кадровый состав ЗАО «Гудевичи» по доминирующим мотивам. В структуре потребностей лидирует запрос на финансовое поощрение (16,7%) и четкую регламентацию трудовых процессов (10%). Социальная интеграция, общественное признание, стремление к власти и потребность в саморазвитии набрали равное количество голосов - по 10% на каждый фактор. Ориентация на достижение целей характерна для 13,3% респондентов. Менее выраженными оказались потребность в тесных взаимосвязях с небольшой группой людей (6,7%), общественная значимость труда (6,7%), креативность (3,3%) и смена обстановки (3,3%).</w:t>
      </w:r>
    </w:p>
    <w:p w:rsidR="007F244E" w:rsidRPr="00B644BF" w:rsidRDefault="007F244E" w:rsidP="005E112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Несмотря на приемлемый уровень мотивации труда работников ЗАО «Гудевичи» в целом, для качественного улучшения ситуации целесообразно реализовать следующий комплекс мер:</w:t>
      </w:r>
    </w:p>
    <w:p w:rsidR="007F244E" w:rsidRPr="00B644BF" w:rsidRDefault="007F244E" w:rsidP="005E112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i/>
          <w:sz w:val="28"/>
          <w:szCs w:val="28"/>
        </w:rPr>
        <w:t>1.</w:t>
      </w:r>
      <w:r w:rsidRPr="00B644BF">
        <w:rPr>
          <w:rFonts w:ascii="Times New Roman" w:hAnsi="Times New Roman" w:cs="Times New Roman"/>
          <w:sz w:val="28"/>
          <w:szCs w:val="28"/>
        </w:rPr>
        <w:t xml:space="preserve"> </w:t>
      </w:r>
      <w:r w:rsidRPr="00B644BF">
        <w:rPr>
          <w:rFonts w:ascii="Times New Roman" w:hAnsi="Times New Roman" w:cs="Times New Roman"/>
          <w:i/>
          <w:sz w:val="28"/>
          <w:szCs w:val="28"/>
        </w:rPr>
        <w:t>Совершенствование материального стимулирования:</w:t>
      </w:r>
      <w:r w:rsidRPr="00B644BF">
        <w:rPr>
          <w:rFonts w:ascii="Times New Roman" w:hAnsi="Times New Roman" w:cs="Times New Roman"/>
          <w:sz w:val="28"/>
          <w:szCs w:val="28"/>
        </w:rPr>
        <w:t xml:space="preserve"> внедрение гибкой системы бонусов, размер которых будет напрямую коррелировать с качественными показателями выполнения задач.</w:t>
      </w:r>
    </w:p>
    <w:p w:rsidR="007F244E" w:rsidRPr="00B644BF" w:rsidRDefault="007F244E" w:rsidP="005E112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i/>
          <w:sz w:val="28"/>
          <w:szCs w:val="28"/>
        </w:rPr>
        <w:t>2. Профессиональное развитие:</w:t>
      </w:r>
      <w:r w:rsidRPr="00B644BF">
        <w:rPr>
          <w:rFonts w:ascii="Times New Roman" w:hAnsi="Times New Roman" w:cs="Times New Roman"/>
          <w:sz w:val="28"/>
          <w:szCs w:val="28"/>
        </w:rPr>
        <w:t xml:space="preserve"> использование практики межхозяйственных стажировок и командировок для обмена опытом, а также создание прозрачных механизмов вертикальной мобильности.</w:t>
      </w:r>
    </w:p>
    <w:p w:rsidR="007F244E" w:rsidRPr="00B644BF" w:rsidRDefault="007F244E" w:rsidP="005E112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i/>
          <w:sz w:val="28"/>
          <w:szCs w:val="28"/>
        </w:rPr>
        <w:t>3. Вовлечение в менеджмент:</w:t>
      </w:r>
      <w:r w:rsidRPr="00B644BF">
        <w:rPr>
          <w:rFonts w:ascii="Times New Roman" w:hAnsi="Times New Roman" w:cs="Times New Roman"/>
          <w:sz w:val="28"/>
          <w:szCs w:val="28"/>
        </w:rPr>
        <w:t xml:space="preserve"> делегирование персоналу полномочий в области стратегического планирования и принятия операционных решений.</w:t>
      </w:r>
    </w:p>
    <w:p w:rsidR="007F244E" w:rsidRPr="00B644BF" w:rsidRDefault="007F244E" w:rsidP="005E112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i/>
          <w:sz w:val="28"/>
          <w:szCs w:val="28"/>
        </w:rPr>
        <w:t>4. Инвестиции в человеческий капитал:</w:t>
      </w:r>
      <w:r w:rsidRPr="00B644BF">
        <w:rPr>
          <w:rFonts w:ascii="Times New Roman" w:hAnsi="Times New Roman" w:cs="Times New Roman"/>
          <w:sz w:val="28"/>
          <w:szCs w:val="28"/>
        </w:rPr>
        <w:t xml:space="preserve"> организация курсов повышения квалификации для наиболее результативных сотрудников с последующим включением их в кадровый резерв.</w:t>
      </w:r>
    </w:p>
    <w:p w:rsidR="007F244E" w:rsidRPr="00B644BF" w:rsidRDefault="007F244E" w:rsidP="005E1127">
      <w:pPr>
        <w:spacing w:after="0" w:line="240" w:lineRule="auto"/>
        <w:ind w:firstLine="709"/>
        <w:jc w:val="center"/>
        <w:rPr>
          <w:rFonts w:ascii="Times New Roman" w:eastAsia="Times New Roman" w:hAnsi="Times New Roman" w:cs="Times New Roman"/>
          <w:sz w:val="23"/>
          <w:szCs w:val="23"/>
        </w:rPr>
      </w:pPr>
    </w:p>
    <w:p w:rsidR="007F244E" w:rsidRPr="00B644BF" w:rsidRDefault="007F244E" w:rsidP="005E1127">
      <w:pPr>
        <w:spacing w:after="0" w:line="240" w:lineRule="auto"/>
        <w:ind w:firstLine="709"/>
        <w:jc w:val="center"/>
        <w:rPr>
          <w:rFonts w:ascii="Times New Roman" w:eastAsia="Times New Roman" w:hAnsi="Times New Roman" w:cs="Times New Roman"/>
          <w:sz w:val="23"/>
          <w:szCs w:val="23"/>
        </w:rPr>
      </w:pPr>
    </w:p>
    <w:p w:rsidR="007F244E" w:rsidRPr="00B644BF" w:rsidRDefault="007F244E" w:rsidP="005E1127">
      <w:pPr>
        <w:spacing w:after="0" w:line="240" w:lineRule="auto"/>
        <w:ind w:firstLine="709"/>
        <w:jc w:val="center"/>
        <w:rPr>
          <w:rFonts w:ascii="Times New Roman" w:eastAsia="SimSun" w:hAnsi="Times New Roman" w:cs="Times New Roman"/>
          <w:b/>
          <w:sz w:val="24"/>
          <w:szCs w:val="24"/>
        </w:rPr>
      </w:pPr>
      <w:r w:rsidRPr="00B644BF">
        <w:rPr>
          <w:rFonts w:ascii="Times New Roman" w:eastAsia="Times New Roman" w:hAnsi="Times New Roman" w:cs="Times New Roman"/>
          <w:sz w:val="23"/>
          <w:szCs w:val="23"/>
        </w:rPr>
        <w:t> </w:t>
      </w:r>
      <w:r w:rsidRPr="00B644BF">
        <w:rPr>
          <w:rFonts w:ascii="Times New Roman" w:eastAsia="SimSun" w:hAnsi="Times New Roman" w:cs="Times New Roman"/>
          <w:b/>
          <w:sz w:val="24"/>
          <w:szCs w:val="24"/>
        </w:rPr>
        <w:t>Список литературы</w:t>
      </w:r>
    </w:p>
    <w:p w:rsidR="007F244E" w:rsidRPr="00B644BF" w:rsidRDefault="007F244E" w:rsidP="005E1127">
      <w:pPr>
        <w:pStyle w:val="afa"/>
        <w:numPr>
          <w:ilvl w:val="0"/>
          <w:numId w:val="29"/>
        </w:numPr>
        <w:tabs>
          <w:tab w:val="left" w:pos="0"/>
          <w:tab w:val="left" w:pos="284"/>
          <w:tab w:val="left" w:pos="426"/>
          <w:tab w:val="left" w:pos="567"/>
          <w:tab w:val="left" w:pos="1134"/>
        </w:tabs>
        <w:autoSpaceDE w:val="0"/>
        <w:autoSpaceDN w:val="0"/>
        <w:adjustRightInd w:val="0"/>
        <w:spacing w:after="0" w:line="240" w:lineRule="auto"/>
        <w:ind w:left="0" w:firstLine="709"/>
        <w:jc w:val="both"/>
        <w:rPr>
          <w:rFonts w:ascii="Times New Roman" w:hAnsi="Times New Roman"/>
          <w:bCs/>
          <w:iCs/>
          <w:sz w:val="24"/>
          <w:szCs w:val="24"/>
        </w:rPr>
      </w:pPr>
      <w:r w:rsidRPr="00B644BF">
        <w:rPr>
          <w:rFonts w:ascii="Times New Roman" w:hAnsi="Times New Roman"/>
          <w:bCs/>
          <w:iCs/>
          <w:sz w:val="24"/>
          <w:szCs w:val="24"/>
        </w:rPr>
        <w:t>Беляцкий, Н.П. Управление персоналом: учеб. пособие / Н.П. Беляцкий. – Минск: Интерпрессервис, 2017. – 352 с.</w:t>
      </w:r>
    </w:p>
    <w:p w:rsidR="007F244E" w:rsidRPr="00B644BF" w:rsidRDefault="007F244E" w:rsidP="005E1127">
      <w:pPr>
        <w:pStyle w:val="afa"/>
        <w:numPr>
          <w:ilvl w:val="0"/>
          <w:numId w:val="29"/>
        </w:numPr>
        <w:tabs>
          <w:tab w:val="left" w:pos="0"/>
          <w:tab w:val="left" w:pos="284"/>
          <w:tab w:val="left" w:pos="426"/>
          <w:tab w:val="left" w:pos="567"/>
          <w:tab w:val="left" w:pos="1134"/>
        </w:tabs>
        <w:autoSpaceDE w:val="0"/>
        <w:autoSpaceDN w:val="0"/>
        <w:adjustRightInd w:val="0"/>
        <w:spacing w:after="0" w:line="240" w:lineRule="auto"/>
        <w:ind w:left="0" w:firstLine="709"/>
        <w:jc w:val="both"/>
        <w:rPr>
          <w:rFonts w:ascii="Times New Roman" w:hAnsi="Times New Roman"/>
          <w:bCs/>
          <w:iCs/>
          <w:sz w:val="24"/>
          <w:szCs w:val="24"/>
        </w:rPr>
      </w:pPr>
      <w:r w:rsidRPr="00B644BF">
        <w:rPr>
          <w:rFonts w:ascii="Times New Roman" w:hAnsi="Times New Roman"/>
          <w:bCs/>
          <w:iCs/>
          <w:sz w:val="24"/>
          <w:szCs w:val="24"/>
        </w:rPr>
        <w:t>Герчикова, И. Н. Менеджмент: учебник / И. Н. Герчикова. – 3-е изд., перераб. и доп. - М.: ЮНИТИ, 2015. - 378 с.</w:t>
      </w:r>
    </w:p>
    <w:p w:rsidR="007F244E" w:rsidRPr="00B644BF" w:rsidRDefault="007F244E" w:rsidP="005E1127">
      <w:pPr>
        <w:pStyle w:val="afa"/>
        <w:numPr>
          <w:ilvl w:val="0"/>
          <w:numId w:val="29"/>
        </w:numPr>
        <w:tabs>
          <w:tab w:val="left" w:pos="0"/>
          <w:tab w:val="left" w:pos="284"/>
          <w:tab w:val="left" w:pos="426"/>
          <w:tab w:val="left" w:pos="567"/>
          <w:tab w:val="left" w:pos="1134"/>
        </w:tabs>
        <w:autoSpaceDE w:val="0"/>
        <w:autoSpaceDN w:val="0"/>
        <w:adjustRightInd w:val="0"/>
        <w:spacing w:after="0" w:line="240" w:lineRule="auto"/>
        <w:ind w:left="0" w:firstLine="709"/>
        <w:jc w:val="both"/>
        <w:rPr>
          <w:rFonts w:ascii="Times New Roman" w:hAnsi="Times New Roman"/>
          <w:bCs/>
          <w:iCs/>
          <w:sz w:val="24"/>
          <w:szCs w:val="24"/>
        </w:rPr>
      </w:pPr>
      <w:r w:rsidRPr="00B644BF">
        <w:rPr>
          <w:rFonts w:ascii="Times New Roman" w:hAnsi="Times New Roman"/>
          <w:bCs/>
          <w:iCs/>
          <w:sz w:val="24"/>
          <w:szCs w:val="24"/>
        </w:rPr>
        <w:t>Егоршин, А. П. Мотивация трудовой деятельности: учеб. пособие / А. П. Егоршин. - 2-е изд., перераб. и доп. - М.: ИНФРА-М, 2016. - 356 с.</w:t>
      </w:r>
    </w:p>
    <w:p w:rsidR="007F244E" w:rsidRPr="00B644BF" w:rsidRDefault="007F244E" w:rsidP="005E1127">
      <w:pPr>
        <w:spacing w:after="0" w:line="240" w:lineRule="auto"/>
        <w:ind w:firstLine="709"/>
        <w:rPr>
          <w:rFonts w:ascii="Times New Roman" w:hAnsi="Times New Roman" w:cs="Times New Roman"/>
          <w:szCs w:val="20"/>
          <w:lang w:eastAsia="en-US" w:bidi="hi-IN"/>
        </w:rPr>
      </w:pPr>
      <w:r w:rsidRPr="00B644BF">
        <w:rPr>
          <w:rFonts w:ascii="Times New Roman" w:hAnsi="Times New Roman" w:cs="Times New Roman"/>
          <w:szCs w:val="20"/>
          <w:lang w:eastAsia="en-US" w:bidi="hi-IN"/>
        </w:rPr>
        <w:br w:type="page"/>
      </w:r>
    </w:p>
    <w:p w:rsidR="007F244E" w:rsidRPr="00B644BF" w:rsidRDefault="007F244E" w:rsidP="005E1127">
      <w:pPr>
        <w:spacing w:after="0" w:line="240" w:lineRule="auto"/>
        <w:ind w:firstLine="709"/>
        <w:rPr>
          <w:rFonts w:ascii="Times New Roman" w:hAnsi="Times New Roman" w:cs="Times New Roman"/>
          <w:sz w:val="28"/>
          <w:szCs w:val="28"/>
        </w:rPr>
      </w:pPr>
      <w:r w:rsidRPr="00B644BF">
        <w:rPr>
          <w:rFonts w:ascii="Times New Roman" w:hAnsi="Times New Roman" w:cs="Times New Roman"/>
          <w:sz w:val="28"/>
          <w:szCs w:val="28"/>
        </w:rPr>
        <w:lastRenderedPageBreak/>
        <w:t>УДК 631.158 (476.6)</w:t>
      </w:r>
    </w:p>
    <w:p w:rsidR="007F244E" w:rsidRPr="00B644BF" w:rsidRDefault="007F244E" w:rsidP="005E1127">
      <w:pPr>
        <w:spacing w:after="0" w:line="240" w:lineRule="auto"/>
        <w:ind w:firstLine="709"/>
        <w:rPr>
          <w:rFonts w:ascii="Times New Roman" w:hAnsi="Times New Roman" w:cs="Times New Roman"/>
          <w:sz w:val="28"/>
          <w:szCs w:val="28"/>
        </w:rPr>
      </w:pPr>
    </w:p>
    <w:p w:rsidR="007F244E" w:rsidRPr="00B644BF" w:rsidRDefault="007F244E" w:rsidP="005E1127">
      <w:pPr>
        <w:spacing w:after="0" w:line="240" w:lineRule="auto"/>
        <w:ind w:firstLine="709"/>
        <w:jc w:val="center"/>
        <w:rPr>
          <w:rFonts w:ascii="Times New Roman" w:hAnsi="Times New Roman" w:cs="Times New Roman"/>
          <w:b/>
          <w:sz w:val="28"/>
          <w:szCs w:val="28"/>
        </w:rPr>
      </w:pPr>
      <w:r w:rsidRPr="00B644BF">
        <w:rPr>
          <w:rFonts w:ascii="Times New Roman" w:hAnsi="Times New Roman" w:cs="Times New Roman"/>
          <w:b/>
          <w:sz w:val="28"/>
          <w:szCs w:val="28"/>
        </w:rPr>
        <w:t>СТРУКТУРА УПРАВЛЕНИЯ И ПУТИ ЕЕ СОВЕРШЕНСТВОВАНИЯ В КПСУП «ГРОДНЕНСКАЯ ПТИЦЕФАБРИКА»</w:t>
      </w:r>
    </w:p>
    <w:p w:rsidR="007F244E" w:rsidRPr="00B644BF" w:rsidRDefault="007F244E" w:rsidP="005E1127">
      <w:pPr>
        <w:spacing w:after="0" w:line="240" w:lineRule="auto"/>
        <w:ind w:firstLine="709"/>
        <w:jc w:val="center"/>
        <w:rPr>
          <w:rFonts w:ascii="Times New Roman" w:hAnsi="Times New Roman" w:cs="Times New Roman"/>
          <w:b/>
          <w:sz w:val="28"/>
          <w:szCs w:val="28"/>
        </w:rPr>
      </w:pPr>
    </w:p>
    <w:p w:rsidR="007F244E" w:rsidRPr="00B644BF" w:rsidRDefault="007F244E" w:rsidP="005E1127">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b/>
          <w:sz w:val="28"/>
          <w:szCs w:val="28"/>
        </w:rPr>
        <w:t>Чернов Алексей Сергеевич</w:t>
      </w:r>
    </w:p>
    <w:p w:rsidR="007F244E" w:rsidRPr="00B644BF" w:rsidRDefault="007F244E" w:rsidP="005E1127">
      <w:pPr>
        <w:spacing w:after="0" w:line="240" w:lineRule="auto"/>
        <w:ind w:firstLine="709"/>
        <w:jc w:val="center"/>
        <w:rPr>
          <w:rFonts w:ascii="Times New Roman" w:eastAsia="SimSun" w:hAnsi="Times New Roman" w:cs="Times New Roman"/>
          <w:sz w:val="28"/>
          <w:szCs w:val="28"/>
        </w:rPr>
      </w:pPr>
      <w:r w:rsidRPr="00B644BF">
        <w:rPr>
          <w:rFonts w:ascii="Times New Roman" w:eastAsia="SimSun" w:hAnsi="Times New Roman" w:cs="Times New Roman"/>
          <w:sz w:val="28"/>
          <w:szCs w:val="28"/>
        </w:rPr>
        <w:t xml:space="preserve">доцент кафедры экономики и управления на предприятии </w:t>
      </w:r>
    </w:p>
    <w:p w:rsidR="007F244E" w:rsidRPr="00B644BF" w:rsidRDefault="007F244E" w:rsidP="005E1127">
      <w:pPr>
        <w:spacing w:after="0" w:line="240" w:lineRule="auto"/>
        <w:ind w:firstLine="709"/>
        <w:jc w:val="center"/>
        <w:rPr>
          <w:rFonts w:ascii="Times New Roman" w:eastAsia="SimSun" w:hAnsi="Times New Roman" w:cs="Times New Roman"/>
          <w:sz w:val="28"/>
          <w:szCs w:val="28"/>
          <w:lang w:val="be-BY"/>
        </w:rPr>
      </w:pPr>
      <w:r w:rsidRPr="00B644BF">
        <w:rPr>
          <w:rFonts w:ascii="Times New Roman" w:eastAsia="SimSun" w:hAnsi="Times New Roman" w:cs="Times New Roman"/>
          <w:sz w:val="28"/>
          <w:szCs w:val="28"/>
        </w:rPr>
        <w:t>учреждения образования «Гродненский государственный университет имени Янки Купалы»; кандидат сельскохозяйственных наук, доцент</w:t>
      </w:r>
    </w:p>
    <w:p w:rsidR="007F244E" w:rsidRPr="00B644BF" w:rsidRDefault="007F244E" w:rsidP="005E1127">
      <w:pPr>
        <w:widowControl w:val="0"/>
        <w:tabs>
          <w:tab w:val="left" w:pos="7200"/>
        </w:tabs>
        <w:spacing w:after="0" w:line="240" w:lineRule="auto"/>
        <w:ind w:firstLine="709"/>
        <w:jc w:val="center"/>
        <w:rPr>
          <w:rFonts w:ascii="Times New Roman" w:eastAsia="SimSun" w:hAnsi="Times New Roman" w:cs="Times New Roman"/>
          <w:spacing w:val="-4"/>
          <w:sz w:val="28"/>
          <w:szCs w:val="28"/>
          <w:lang w:val="be-BY"/>
        </w:rPr>
      </w:pPr>
      <w:r w:rsidRPr="00B644BF">
        <w:rPr>
          <w:rFonts w:ascii="Times New Roman" w:eastAsia="SimSun" w:hAnsi="Times New Roman" w:cs="Times New Roman"/>
          <w:sz w:val="28"/>
          <w:szCs w:val="28"/>
        </w:rPr>
        <w:t>(г. Гродно, Беларусь)</w:t>
      </w:r>
    </w:p>
    <w:p w:rsidR="007F244E" w:rsidRPr="00B644BF" w:rsidRDefault="007F244E" w:rsidP="005E1127">
      <w:pPr>
        <w:spacing w:after="0" w:line="240" w:lineRule="auto"/>
        <w:ind w:firstLine="709"/>
        <w:jc w:val="center"/>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lang w:val="en-US"/>
        </w:rPr>
        <w:t>chernov</w:t>
      </w:r>
      <w:r w:rsidRPr="00B644BF">
        <w:rPr>
          <w:rFonts w:ascii="Times New Roman" w:eastAsia="Times New Roman" w:hAnsi="Times New Roman" w:cs="Times New Roman"/>
          <w:sz w:val="28"/>
          <w:szCs w:val="28"/>
        </w:rPr>
        <w:t>_</w:t>
      </w:r>
      <w:r w:rsidRPr="00B644BF">
        <w:rPr>
          <w:rFonts w:ascii="Times New Roman" w:eastAsia="Times New Roman" w:hAnsi="Times New Roman" w:cs="Times New Roman"/>
          <w:sz w:val="28"/>
          <w:szCs w:val="28"/>
          <w:lang w:val="en-US"/>
        </w:rPr>
        <w:t>as</w:t>
      </w:r>
      <w:r w:rsidRPr="00B644BF">
        <w:rPr>
          <w:rFonts w:ascii="Times New Roman" w:eastAsia="Times New Roman" w:hAnsi="Times New Roman" w:cs="Times New Roman"/>
          <w:sz w:val="28"/>
          <w:szCs w:val="28"/>
        </w:rPr>
        <w:t>@</w:t>
      </w:r>
      <w:r w:rsidRPr="00B644BF">
        <w:rPr>
          <w:rFonts w:ascii="Times New Roman" w:eastAsia="Times New Roman" w:hAnsi="Times New Roman" w:cs="Times New Roman"/>
          <w:sz w:val="28"/>
          <w:szCs w:val="28"/>
          <w:lang w:val="en-US"/>
        </w:rPr>
        <w:t>grsu</w:t>
      </w:r>
      <w:r w:rsidRPr="00B644BF">
        <w:rPr>
          <w:rFonts w:ascii="Times New Roman" w:eastAsia="Times New Roman" w:hAnsi="Times New Roman" w:cs="Times New Roman"/>
          <w:sz w:val="28"/>
          <w:szCs w:val="28"/>
        </w:rPr>
        <w:t>.</w:t>
      </w:r>
      <w:r w:rsidRPr="00B644BF">
        <w:rPr>
          <w:rFonts w:ascii="Times New Roman" w:eastAsia="Times New Roman" w:hAnsi="Times New Roman" w:cs="Times New Roman"/>
          <w:sz w:val="28"/>
          <w:szCs w:val="28"/>
          <w:lang w:val="en-US"/>
        </w:rPr>
        <w:t>by</w:t>
      </w:r>
    </w:p>
    <w:p w:rsidR="007F244E" w:rsidRPr="00B644BF" w:rsidRDefault="007F244E" w:rsidP="005E1127">
      <w:pPr>
        <w:spacing w:after="0" w:line="240" w:lineRule="auto"/>
        <w:ind w:firstLine="709"/>
        <w:jc w:val="center"/>
        <w:rPr>
          <w:rFonts w:ascii="Times New Roman" w:eastAsia="Times New Roman" w:hAnsi="Times New Roman" w:cs="Times New Roman"/>
          <w:b/>
          <w:sz w:val="28"/>
          <w:szCs w:val="28"/>
        </w:rPr>
      </w:pPr>
    </w:p>
    <w:p w:rsidR="007F244E" w:rsidRPr="00B644BF" w:rsidRDefault="007F244E" w:rsidP="005E1127">
      <w:pPr>
        <w:spacing w:after="0" w:line="240" w:lineRule="auto"/>
        <w:ind w:firstLine="709"/>
        <w:jc w:val="both"/>
        <w:rPr>
          <w:rFonts w:ascii="Times New Roman" w:hAnsi="Times New Roman" w:cs="Times New Roman"/>
          <w:sz w:val="24"/>
          <w:szCs w:val="24"/>
        </w:rPr>
      </w:pPr>
      <w:r w:rsidRPr="00B644BF">
        <w:rPr>
          <w:rFonts w:ascii="Times New Roman" w:eastAsia="SimSun" w:hAnsi="Times New Roman" w:cs="Times New Roman"/>
          <w:b/>
          <w:sz w:val="24"/>
          <w:szCs w:val="24"/>
        </w:rPr>
        <w:t xml:space="preserve">Аннотация. </w:t>
      </w:r>
      <w:r w:rsidRPr="00B644BF">
        <w:rPr>
          <w:rFonts w:ascii="Times New Roman" w:eastAsia="SimSun" w:hAnsi="Times New Roman" w:cs="Times New Roman"/>
          <w:sz w:val="24"/>
          <w:szCs w:val="24"/>
        </w:rPr>
        <w:t xml:space="preserve">В работе проведен анализ </w:t>
      </w:r>
      <w:r w:rsidRPr="00B644BF">
        <w:rPr>
          <w:rFonts w:ascii="Times New Roman" w:hAnsi="Times New Roman" w:cs="Times New Roman"/>
          <w:sz w:val="24"/>
          <w:szCs w:val="24"/>
        </w:rPr>
        <w:t>структуры управления</w:t>
      </w:r>
      <w:r w:rsidRPr="00B644BF">
        <w:rPr>
          <w:rFonts w:ascii="Times New Roman" w:hAnsi="Times New Roman" w:cs="Times New Roman"/>
          <w:bCs/>
          <w:sz w:val="28"/>
          <w:szCs w:val="28"/>
        </w:rPr>
        <w:t xml:space="preserve"> </w:t>
      </w:r>
      <w:r w:rsidRPr="00B644BF">
        <w:rPr>
          <w:rFonts w:ascii="Times New Roman" w:hAnsi="Times New Roman" w:cs="Times New Roman"/>
          <w:bCs/>
          <w:sz w:val="24"/>
          <w:szCs w:val="24"/>
        </w:rPr>
        <w:t>КПСУП «Гродненская птицефабрика» Гродненского района</w:t>
      </w:r>
      <w:r w:rsidRPr="00B644BF">
        <w:rPr>
          <w:rFonts w:ascii="Times New Roman" w:hAnsi="Times New Roman" w:cs="Times New Roman"/>
          <w:sz w:val="24"/>
          <w:szCs w:val="24"/>
        </w:rPr>
        <w:t>. Выявлены расхождения в нормативной численности отдельных категорий работников. Предложены мероприятия по совершенствованию структуры управления</w:t>
      </w:r>
      <w:r w:rsidRPr="00B644BF">
        <w:rPr>
          <w:rFonts w:ascii="Times New Roman" w:hAnsi="Times New Roman" w:cs="Times New Roman"/>
          <w:bCs/>
          <w:sz w:val="28"/>
          <w:szCs w:val="28"/>
        </w:rPr>
        <w:t xml:space="preserve"> </w:t>
      </w:r>
      <w:r w:rsidRPr="00B644BF">
        <w:rPr>
          <w:rFonts w:ascii="Times New Roman" w:hAnsi="Times New Roman" w:cs="Times New Roman"/>
          <w:sz w:val="24"/>
          <w:szCs w:val="24"/>
        </w:rPr>
        <w:t>анализируемого предприятия.</w:t>
      </w:r>
    </w:p>
    <w:p w:rsidR="007F244E" w:rsidRPr="00B644BF" w:rsidRDefault="007F244E" w:rsidP="005E1127">
      <w:pPr>
        <w:widowControl w:val="0"/>
        <w:tabs>
          <w:tab w:val="left" w:pos="7200"/>
        </w:tabs>
        <w:spacing w:after="0" w:line="240" w:lineRule="auto"/>
        <w:ind w:firstLine="709"/>
        <w:jc w:val="both"/>
        <w:rPr>
          <w:rFonts w:ascii="Times New Roman" w:eastAsia="SimSun" w:hAnsi="Times New Roman" w:cs="Times New Roman"/>
          <w:sz w:val="24"/>
          <w:szCs w:val="24"/>
        </w:rPr>
      </w:pPr>
      <w:r w:rsidRPr="00B644BF">
        <w:rPr>
          <w:rFonts w:ascii="Times New Roman" w:eastAsia="SimSun" w:hAnsi="Times New Roman" w:cs="Times New Roman"/>
          <w:b/>
          <w:sz w:val="24"/>
          <w:szCs w:val="24"/>
        </w:rPr>
        <w:t xml:space="preserve">Ключевые слова: </w:t>
      </w:r>
      <w:r w:rsidRPr="00B644BF">
        <w:rPr>
          <w:rFonts w:ascii="Times New Roman" w:eastAsia="SimSun" w:hAnsi="Times New Roman" w:cs="Times New Roman"/>
          <w:sz w:val="24"/>
          <w:szCs w:val="24"/>
        </w:rPr>
        <w:t xml:space="preserve">структура управления, штатное расписание, нормативная численность. </w:t>
      </w:r>
    </w:p>
    <w:p w:rsidR="007F244E" w:rsidRPr="00B644BF" w:rsidRDefault="007F244E" w:rsidP="005E1127">
      <w:pPr>
        <w:widowControl w:val="0"/>
        <w:tabs>
          <w:tab w:val="left" w:pos="7200"/>
        </w:tabs>
        <w:spacing w:after="0" w:line="240" w:lineRule="auto"/>
        <w:ind w:firstLine="709"/>
        <w:rPr>
          <w:rFonts w:ascii="Times New Roman" w:eastAsia="SimSun" w:hAnsi="Times New Roman" w:cs="Times New Roman"/>
          <w:sz w:val="24"/>
          <w:szCs w:val="24"/>
        </w:rPr>
      </w:pPr>
    </w:p>
    <w:p w:rsidR="007F244E" w:rsidRPr="00B644BF" w:rsidRDefault="007F244E" w:rsidP="005E1127">
      <w:pPr>
        <w:spacing w:after="0" w:line="240" w:lineRule="auto"/>
        <w:ind w:firstLine="709"/>
        <w:jc w:val="both"/>
        <w:rPr>
          <w:rFonts w:ascii="Times New Roman" w:hAnsi="Times New Roman" w:cs="Times New Roman"/>
          <w:bCs/>
          <w:sz w:val="28"/>
          <w:szCs w:val="28"/>
        </w:rPr>
      </w:pPr>
      <w:r w:rsidRPr="00B644BF">
        <w:rPr>
          <w:rFonts w:ascii="Times New Roman" w:hAnsi="Times New Roman" w:cs="Times New Roman"/>
          <w:bCs/>
          <w:sz w:val="28"/>
          <w:szCs w:val="28"/>
        </w:rPr>
        <w:t>В настоящее время много говорится о необходимости повышения эффективности управления. Однако, несмотря на достаточное количество информации данного рода, многие предприятия оказываются неспособными решить эту проблему. Одной из главных причин сложившейся ситуации, наряду с нехваткой различного вида ресурсов, неплатежеспособностью дебиторов и других, является неспособность руководителей правильно спроектировать структуру управления [3</w:t>
      </w:r>
      <w:r w:rsidRPr="00B644BF">
        <w:rPr>
          <w:rFonts w:ascii="Times New Roman" w:eastAsia="SimSun" w:hAnsi="Times New Roman" w:cs="Times New Roman"/>
          <w:sz w:val="28"/>
          <w:szCs w:val="28"/>
        </w:rPr>
        <w:t>, с. 230</w:t>
      </w:r>
      <w:r w:rsidRPr="00B644BF">
        <w:rPr>
          <w:rFonts w:ascii="Times New Roman" w:hAnsi="Times New Roman" w:cs="Times New Roman"/>
          <w:bCs/>
          <w:sz w:val="28"/>
          <w:szCs w:val="28"/>
        </w:rPr>
        <w:t>].</w:t>
      </w:r>
    </w:p>
    <w:p w:rsidR="007F244E" w:rsidRPr="00B644BF" w:rsidRDefault="007F244E" w:rsidP="005E1127">
      <w:pPr>
        <w:spacing w:after="0" w:line="240" w:lineRule="auto"/>
        <w:ind w:firstLine="709"/>
        <w:jc w:val="both"/>
        <w:rPr>
          <w:rFonts w:ascii="Times New Roman" w:hAnsi="Times New Roman" w:cs="Times New Roman"/>
          <w:bCs/>
          <w:sz w:val="28"/>
          <w:szCs w:val="28"/>
        </w:rPr>
      </w:pPr>
      <w:r w:rsidRPr="00B644BF">
        <w:rPr>
          <w:rFonts w:ascii="Times New Roman" w:hAnsi="Times New Roman" w:cs="Times New Roman"/>
          <w:bCs/>
          <w:sz w:val="28"/>
          <w:szCs w:val="28"/>
        </w:rPr>
        <w:t>Обоснованная, правильно выбранная структура управления создает благоприятные условия для принятия оптимальных решений, повышения оперативности управления, сокращения управленческих циклов, усиления исполнительской дисциплины и повышения эффективности работы всей организации в целом [2, с. 45].</w:t>
      </w:r>
    </w:p>
    <w:p w:rsidR="007F244E" w:rsidRPr="00B644BF" w:rsidRDefault="007F244E" w:rsidP="005E1127">
      <w:pPr>
        <w:spacing w:after="0" w:line="240" w:lineRule="auto"/>
        <w:ind w:firstLine="709"/>
        <w:jc w:val="both"/>
        <w:rPr>
          <w:rFonts w:ascii="Times New Roman" w:hAnsi="Times New Roman" w:cs="Times New Roman"/>
          <w:bCs/>
          <w:sz w:val="28"/>
          <w:szCs w:val="28"/>
        </w:rPr>
      </w:pPr>
      <w:r w:rsidRPr="00B644BF">
        <w:rPr>
          <w:rFonts w:ascii="Times New Roman" w:hAnsi="Times New Roman" w:cs="Times New Roman"/>
          <w:bCs/>
          <w:sz w:val="28"/>
          <w:szCs w:val="28"/>
        </w:rPr>
        <w:t>Целью данного исследования является анализ структуры управления в КПСУП «Гродненская птицефабрика» Гродненского района и поиск путей ее совершенствования.</w:t>
      </w:r>
    </w:p>
    <w:p w:rsidR="007F244E" w:rsidRPr="00B644BF" w:rsidRDefault="007F244E" w:rsidP="005E1127">
      <w:pPr>
        <w:spacing w:after="0" w:line="240" w:lineRule="auto"/>
        <w:ind w:firstLine="709"/>
        <w:jc w:val="both"/>
        <w:rPr>
          <w:rFonts w:ascii="Times New Roman" w:hAnsi="Times New Roman" w:cs="Times New Roman"/>
          <w:bCs/>
          <w:sz w:val="28"/>
          <w:szCs w:val="28"/>
        </w:rPr>
      </w:pPr>
      <w:r w:rsidRPr="00B644BF">
        <w:rPr>
          <w:rFonts w:ascii="Times New Roman" w:hAnsi="Times New Roman" w:cs="Times New Roman"/>
          <w:bCs/>
          <w:sz w:val="28"/>
          <w:szCs w:val="28"/>
        </w:rPr>
        <w:t>КПСУП «Гродненская птицефабрика» - это современное предприятие отвечающее задачам рационального развития производственных сил и совершенствования производственных отношений в условиях рыночной экономики.</w:t>
      </w:r>
    </w:p>
    <w:p w:rsidR="007F244E" w:rsidRPr="00B644BF" w:rsidRDefault="007F244E" w:rsidP="005E1127">
      <w:pPr>
        <w:spacing w:after="0" w:line="240" w:lineRule="auto"/>
        <w:ind w:firstLine="709"/>
        <w:jc w:val="both"/>
        <w:rPr>
          <w:rFonts w:ascii="Times New Roman" w:hAnsi="Times New Roman" w:cs="Times New Roman"/>
          <w:bCs/>
          <w:sz w:val="28"/>
          <w:szCs w:val="28"/>
        </w:rPr>
      </w:pPr>
      <w:r w:rsidRPr="00B644BF">
        <w:rPr>
          <w:rFonts w:ascii="Times New Roman" w:hAnsi="Times New Roman" w:cs="Times New Roman"/>
          <w:bCs/>
          <w:sz w:val="28"/>
          <w:szCs w:val="28"/>
        </w:rPr>
        <w:t xml:space="preserve">В состав анализируемого предприятия входят: 2 производственных участка, занимающихся производством сельскохозяйственных культур; 2 животноводческих комплекса по производству молока: МТК «Жукевичи» и МТК «Коптевка»; 2 фермы по выращиванию крупного рогатого скота: </w:t>
      </w:r>
      <w:r w:rsidRPr="00B644BF">
        <w:rPr>
          <w:rFonts w:ascii="Times New Roman" w:hAnsi="Times New Roman" w:cs="Times New Roman"/>
          <w:bCs/>
          <w:sz w:val="28"/>
          <w:szCs w:val="28"/>
        </w:rPr>
        <w:lastRenderedPageBreak/>
        <w:t>«Коптевка» и «Каменка»; 1 свиноводческий комплекс «Сухмени»; ремонтная мастерская и склад ГСМ; 3 цеха (мясопереработки, комбикормовый, переработки масличных культур).</w:t>
      </w:r>
    </w:p>
    <w:p w:rsidR="007F244E" w:rsidRPr="00B644BF" w:rsidRDefault="007F244E" w:rsidP="005E1127">
      <w:pPr>
        <w:spacing w:after="0" w:line="240" w:lineRule="auto"/>
        <w:ind w:firstLine="709"/>
        <w:jc w:val="both"/>
        <w:rPr>
          <w:rFonts w:ascii="Times New Roman" w:hAnsi="Times New Roman" w:cs="Times New Roman"/>
          <w:bCs/>
          <w:sz w:val="28"/>
          <w:szCs w:val="28"/>
        </w:rPr>
      </w:pPr>
      <w:r w:rsidRPr="00B644BF">
        <w:rPr>
          <w:rFonts w:ascii="Times New Roman" w:hAnsi="Times New Roman" w:cs="Times New Roman"/>
          <w:bCs/>
          <w:sz w:val="28"/>
          <w:szCs w:val="28"/>
        </w:rPr>
        <w:t>Анализируемое предприятие имеет линейно-функциональную структуру управления. В структуре управления КПСУП «Гродненская птицефабрика» присутствуют связи: линейные (административное подчинение), функциональные (по сфере деятельности без прямого административного подчинения), кооперационные (между подразделениями одного и того же уровня).</w:t>
      </w:r>
    </w:p>
    <w:p w:rsidR="007F244E" w:rsidRPr="00B644BF" w:rsidRDefault="007F244E" w:rsidP="005E1127">
      <w:pPr>
        <w:spacing w:after="0" w:line="240" w:lineRule="auto"/>
        <w:ind w:firstLine="709"/>
        <w:jc w:val="both"/>
        <w:rPr>
          <w:rFonts w:ascii="Times New Roman" w:eastAsia="Times New Roman" w:hAnsi="Times New Roman" w:cs="Times New Roman"/>
          <w:sz w:val="28"/>
          <w:szCs w:val="28"/>
        </w:rPr>
      </w:pPr>
      <w:r w:rsidRPr="00B644BF">
        <w:rPr>
          <w:rFonts w:ascii="Times New Roman" w:hAnsi="Times New Roman" w:cs="Times New Roman"/>
          <w:bCs/>
          <w:sz w:val="28"/>
          <w:szCs w:val="28"/>
        </w:rPr>
        <w:t xml:space="preserve">Согласно штатного расписания, фактическая численность работников аппарата управления предприятия составляет 82 человека. </w:t>
      </w:r>
      <w:r w:rsidRPr="00B644BF">
        <w:rPr>
          <w:rFonts w:ascii="Times New Roman" w:eastAsia="Times New Roman" w:hAnsi="Times New Roman" w:cs="Times New Roman"/>
          <w:sz w:val="28"/>
          <w:szCs w:val="28"/>
        </w:rPr>
        <w:t>Наибольшую численность занимает отдел организации и управления производством в животноводстве (23,2%), второе место по численности занимает отдел бухгалтерского учета и финансового обеспечения деятельности (15,9%).</w:t>
      </w:r>
    </w:p>
    <w:p w:rsidR="007F244E" w:rsidRPr="00B644BF" w:rsidRDefault="007F244E" w:rsidP="005E1127">
      <w:pPr>
        <w:spacing w:after="0" w:line="240" w:lineRule="auto"/>
        <w:ind w:firstLine="709"/>
        <w:jc w:val="both"/>
        <w:rPr>
          <w:rFonts w:ascii="Times New Roman" w:hAnsi="Times New Roman" w:cs="Times New Roman"/>
          <w:bCs/>
          <w:sz w:val="28"/>
          <w:szCs w:val="28"/>
        </w:rPr>
      </w:pPr>
      <w:r w:rsidRPr="00B644BF">
        <w:rPr>
          <w:rFonts w:ascii="Times New Roman" w:hAnsi="Times New Roman" w:cs="Times New Roman"/>
          <w:bCs/>
          <w:sz w:val="28"/>
          <w:szCs w:val="28"/>
        </w:rPr>
        <w:t>При проектировании структуры управления КПСУП «Гродненская птицефабрика» на перспективу, нами были проведены исследования по обоснованию необходимой численности работников аппарата управления анализируемого хозяйства [1].</w:t>
      </w:r>
    </w:p>
    <w:p w:rsidR="007F244E" w:rsidRPr="00B644BF" w:rsidRDefault="007F244E" w:rsidP="005E1127">
      <w:pPr>
        <w:spacing w:after="0" w:line="240" w:lineRule="auto"/>
        <w:ind w:firstLine="709"/>
        <w:jc w:val="both"/>
        <w:rPr>
          <w:rFonts w:ascii="Times New Roman" w:hAnsi="Times New Roman" w:cs="Times New Roman"/>
          <w:bCs/>
          <w:sz w:val="28"/>
          <w:szCs w:val="28"/>
        </w:rPr>
      </w:pPr>
      <w:r w:rsidRPr="00B644BF">
        <w:rPr>
          <w:rFonts w:ascii="Times New Roman" w:hAnsi="Times New Roman" w:cs="Times New Roman"/>
          <w:bCs/>
          <w:sz w:val="28"/>
          <w:szCs w:val="28"/>
        </w:rPr>
        <w:t>Как показали расчеты, фактическое количество работников аппарата управления на предприятии должно составлять 77 человек. Следовательно, необходимо совершенствовать фактическую структуру управления путем переориентации части работников для высвобождения 5 рабочих мест. Рассмотрим направления изменения на перспективу.</w:t>
      </w:r>
    </w:p>
    <w:p w:rsidR="007F244E" w:rsidRPr="00B644BF" w:rsidRDefault="007F244E" w:rsidP="005E1127">
      <w:pPr>
        <w:spacing w:after="0" w:line="240" w:lineRule="auto"/>
        <w:ind w:firstLine="709"/>
        <w:jc w:val="both"/>
        <w:rPr>
          <w:rFonts w:ascii="Times New Roman" w:hAnsi="Times New Roman" w:cs="Times New Roman"/>
          <w:bCs/>
          <w:sz w:val="28"/>
          <w:szCs w:val="28"/>
        </w:rPr>
      </w:pPr>
      <w:r w:rsidRPr="00B644BF">
        <w:rPr>
          <w:rFonts w:ascii="Times New Roman" w:hAnsi="Times New Roman" w:cs="Times New Roman"/>
          <w:bCs/>
          <w:sz w:val="28"/>
          <w:szCs w:val="28"/>
        </w:rPr>
        <w:t>В ходе исследования выяснено, что на предприятии осуществляют деятельность 2 юрисконсульта. Поскольку на предприятии нет внешнеэкономической деятельности, необходимость во втором специалисте отпадает. В перспективе предлагается провести сокращение штатной единицы, с выплатой работнику 3 месячных заработных плат (средняя заработная плата по предприятию составляет 1989 руб./мес.), в качестве компенсации. Общая сумма затрат составляет: 3 мес. * 1989 руб. = 5,97 тыс. руб. О предложенном намерении работник будет извещен за месяц до предполагаемого срока сокращения, что позволит ему найти новое место работы.</w:t>
      </w:r>
    </w:p>
    <w:p w:rsidR="007F244E" w:rsidRPr="00B644BF" w:rsidRDefault="007F244E" w:rsidP="005E1127">
      <w:pPr>
        <w:spacing w:after="0" w:line="240" w:lineRule="auto"/>
        <w:ind w:firstLine="709"/>
        <w:jc w:val="both"/>
        <w:rPr>
          <w:rFonts w:ascii="Times New Roman" w:hAnsi="Times New Roman" w:cs="Times New Roman"/>
          <w:bCs/>
          <w:sz w:val="28"/>
          <w:szCs w:val="28"/>
        </w:rPr>
      </w:pPr>
      <w:r w:rsidRPr="00B644BF">
        <w:rPr>
          <w:rFonts w:ascii="Times New Roman" w:hAnsi="Times New Roman" w:cs="Times New Roman"/>
          <w:bCs/>
          <w:sz w:val="28"/>
          <w:szCs w:val="28"/>
        </w:rPr>
        <w:t>Что касается экономистов, как отдельного направления, то в данном случае на предприятии сложился недостаток кадров, а в бухгалтерии избыток. Имеется возможность его устранить, путем перевода одного из бухгалтеров на должность экономиста. Это обусловлено тем, что данный бухгалтер имеет высшее экономическое образование и на его переобучение не требуется дополнительных финансовых средств. Еще два бухгалтера будут уволены в связи с выходом на пенсию.</w:t>
      </w:r>
    </w:p>
    <w:p w:rsidR="007F244E" w:rsidRPr="00B644BF" w:rsidRDefault="007F244E" w:rsidP="005E1127">
      <w:pPr>
        <w:spacing w:after="0" w:line="240" w:lineRule="auto"/>
        <w:ind w:firstLine="709"/>
        <w:jc w:val="both"/>
        <w:rPr>
          <w:rFonts w:ascii="Times New Roman" w:hAnsi="Times New Roman" w:cs="Times New Roman"/>
          <w:bCs/>
          <w:sz w:val="28"/>
          <w:szCs w:val="28"/>
        </w:rPr>
      </w:pPr>
      <w:r w:rsidRPr="00B644BF">
        <w:rPr>
          <w:rFonts w:ascii="Times New Roman" w:hAnsi="Times New Roman" w:cs="Times New Roman"/>
          <w:bCs/>
          <w:sz w:val="28"/>
          <w:szCs w:val="28"/>
        </w:rPr>
        <w:t xml:space="preserve">Согласно данных штатного расписания, на предприятии в зоотехнии работают начальник комбикормового цеха и инженер-технолог. С учетом </w:t>
      </w:r>
      <w:r w:rsidRPr="00B644BF">
        <w:rPr>
          <w:rFonts w:ascii="Times New Roman" w:hAnsi="Times New Roman" w:cs="Times New Roman"/>
          <w:bCs/>
          <w:sz w:val="28"/>
          <w:szCs w:val="28"/>
        </w:rPr>
        <w:lastRenderedPageBreak/>
        <w:t>необходимости нормирования рационов и большого количества разных групп скота, предлагается одного из работников перевести в разряд зоотехников-селекционеров для осуществления работ на молочно-товарных фермах. Данная оптимизация позволит улучшить структуру численности работников и сэкономит предприятию финансовые средства на переобучение персонала.</w:t>
      </w:r>
    </w:p>
    <w:p w:rsidR="007F244E" w:rsidRPr="00B644BF" w:rsidRDefault="007F244E" w:rsidP="005E1127">
      <w:pPr>
        <w:spacing w:after="0" w:line="240" w:lineRule="auto"/>
        <w:ind w:firstLine="709"/>
        <w:jc w:val="both"/>
        <w:rPr>
          <w:rFonts w:ascii="Times New Roman" w:hAnsi="Times New Roman" w:cs="Times New Roman"/>
          <w:bCs/>
          <w:sz w:val="28"/>
          <w:szCs w:val="28"/>
        </w:rPr>
      </w:pPr>
      <w:r w:rsidRPr="00B644BF">
        <w:rPr>
          <w:rFonts w:ascii="Times New Roman" w:hAnsi="Times New Roman" w:cs="Times New Roman"/>
          <w:bCs/>
          <w:sz w:val="28"/>
          <w:szCs w:val="28"/>
        </w:rPr>
        <w:t>В отделе организации и управления производством в растениеводстве избыток 1 агронома. Оптимизация кадров подлежит 1 человек. Отметим, что специалист будет уволен по выходу на пенсию, так как срок действия его контракта истекает.</w:t>
      </w:r>
    </w:p>
    <w:p w:rsidR="007F244E" w:rsidRPr="00B644BF" w:rsidRDefault="007F244E" w:rsidP="005E1127">
      <w:pPr>
        <w:spacing w:after="0" w:line="240" w:lineRule="auto"/>
        <w:ind w:firstLine="709"/>
        <w:jc w:val="both"/>
        <w:rPr>
          <w:rFonts w:ascii="Times New Roman" w:hAnsi="Times New Roman" w:cs="Times New Roman"/>
          <w:bCs/>
          <w:sz w:val="28"/>
          <w:szCs w:val="28"/>
        </w:rPr>
      </w:pPr>
      <w:r w:rsidRPr="00B644BF">
        <w:rPr>
          <w:rFonts w:ascii="Times New Roman" w:hAnsi="Times New Roman" w:cs="Times New Roman"/>
          <w:bCs/>
          <w:sz w:val="28"/>
          <w:szCs w:val="28"/>
        </w:rPr>
        <w:t>Отметим, что в ветеринарной деятельности обслуживания скота сложился недостаток работников. Предприятие не имеет собственного резерва кадров, в связи с чем данные категории работников будут наняты со стороны.  В данном направлении предприятие сможет сотрудничать с УО «Гродненский государственный аграрный университет» о необходимости распределения трех студентов ветеринарного факультета на вакантные места.</w:t>
      </w:r>
    </w:p>
    <w:p w:rsidR="007F244E" w:rsidRPr="00B644BF" w:rsidRDefault="007F244E" w:rsidP="005E1127">
      <w:pPr>
        <w:spacing w:after="0" w:line="240" w:lineRule="auto"/>
        <w:ind w:firstLine="709"/>
        <w:jc w:val="both"/>
        <w:rPr>
          <w:rFonts w:ascii="Times New Roman" w:hAnsi="Times New Roman" w:cs="Times New Roman"/>
          <w:bCs/>
          <w:sz w:val="28"/>
          <w:szCs w:val="28"/>
        </w:rPr>
      </w:pPr>
      <w:r w:rsidRPr="00B644BF">
        <w:rPr>
          <w:rFonts w:ascii="Times New Roman" w:hAnsi="Times New Roman" w:cs="Times New Roman"/>
          <w:bCs/>
          <w:sz w:val="28"/>
          <w:szCs w:val="28"/>
        </w:rPr>
        <w:t>Еще одним важным направлением модернизации производства в перспективе является оптимизация подразделения капитального строительства и ремонта, которая состоит из двух работников. Согласно существующего норматива, предприятие не должно иметь в структурном подразделении данных работников. Однако предприятие ежегодно осуществляет строительство собственно жилищного фонда для рабочих за свои собственные средства и кредиты банка, с учетом имеющейся техники, поэтому ликвидировать данное направлением следует путем вывода данных работников из штатного расписания путем перевода их в неосновной вид деятельности.</w:t>
      </w:r>
    </w:p>
    <w:p w:rsidR="007F244E" w:rsidRPr="00B644BF" w:rsidRDefault="007F244E" w:rsidP="005E1127">
      <w:pPr>
        <w:spacing w:after="0" w:line="240" w:lineRule="auto"/>
        <w:ind w:firstLine="709"/>
        <w:jc w:val="both"/>
        <w:rPr>
          <w:rFonts w:ascii="Times New Roman" w:hAnsi="Times New Roman" w:cs="Times New Roman"/>
          <w:bCs/>
          <w:sz w:val="28"/>
          <w:szCs w:val="28"/>
        </w:rPr>
      </w:pPr>
      <w:r w:rsidRPr="00B644BF">
        <w:rPr>
          <w:rFonts w:ascii="Times New Roman" w:hAnsi="Times New Roman" w:cs="Times New Roman"/>
          <w:bCs/>
          <w:sz w:val="28"/>
          <w:szCs w:val="28"/>
        </w:rPr>
        <w:t>Таким образом, в ходе проведенного исследования установлено:</w:t>
      </w:r>
    </w:p>
    <w:p w:rsidR="007F244E" w:rsidRPr="00B644BF" w:rsidRDefault="007F244E" w:rsidP="005E1127">
      <w:pPr>
        <w:numPr>
          <w:ilvl w:val="0"/>
          <w:numId w:val="30"/>
        </w:numPr>
        <w:tabs>
          <w:tab w:val="left" w:pos="993"/>
        </w:tabs>
        <w:spacing w:after="0" w:line="240" w:lineRule="auto"/>
        <w:ind w:left="0" w:firstLine="709"/>
        <w:jc w:val="both"/>
        <w:rPr>
          <w:rFonts w:ascii="Times New Roman" w:hAnsi="Times New Roman" w:cs="Times New Roman"/>
          <w:bCs/>
          <w:sz w:val="28"/>
          <w:szCs w:val="28"/>
        </w:rPr>
      </w:pPr>
      <w:r w:rsidRPr="00B644BF">
        <w:rPr>
          <w:rFonts w:ascii="Times New Roman" w:hAnsi="Times New Roman" w:cs="Times New Roman"/>
          <w:bCs/>
          <w:sz w:val="28"/>
          <w:szCs w:val="28"/>
        </w:rPr>
        <w:t>на перспективу на предприятии будут сокращены 4 работника (3 на пенсию (2 бухгалтера и 1 агроном) и один по расторжению контракта (юрисконсульт));</w:t>
      </w:r>
    </w:p>
    <w:p w:rsidR="007F244E" w:rsidRPr="00B644BF" w:rsidRDefault="007F244E" w:rsidP="005E1127">
      <w:pPr>
        <w:numPr>
          <w:ilvl w:val="0"/>
          <w:numId w:val="30"/>
        </w:numPr>
        <w:tabs>
          <w:tab w:val="left" w:pos="993"/>
        </w:tabs>
        <w:spacing w:after="0" w:line="240" w:lineRule="auto"/>
        <w:ind w:left="0" w:firstLine="709"/>
        <w:jc w:val="both"/>
        <w:rPr>
          <w:rFonts w:ascii="Times New Roman" w:hAnsi="Times New Roman" w:cs="Times New Roman"/>
          <w:bCs/>
          <w:sz w:val="28"/>
          <w:szCs w:val="28"/>
        </w:rPr>
      </w:pPr>
      <w:r w:rsidRPr="00B644BF">
        <w:rPr>
          <w:rFonts w:ascii="Times New Roman" w:hAnsi="Times New Roman" w:cs="Times New Roman"/>
          <w:bCs/>
          <w:sz w:val="28"/>
          <w:szCs w:val="28"/>
        </w:rPr>
        <w:t>2 должности специалистов будут восполнены путем перевода собственных работников с других должностей (бухгалтер на место экономиста, начальник комбикормового цеха на ведущего зоотехника);</w:t>
      </w:r>
    </w:p>
    <w:p w:rsidR="007F244E" w:rsidRPr="00B644BF" w:rsidRDefault="007F244E" w:rsidP="005E1127">
      <w:pPr>
        <w:numPr>
          <w:ilvl w:val="0"/>
          <w:numId w:val="30"/>
        </w:numPr>
        <w:tabs>
          <w:tab w:val="left" w:pos="993"/>
        </w:tabs>
        <w:spacing w:after="0" w:line="240" w:lineRule="auto"/>
        <w:ind w:left="0" w:firstLine="709"/>
        <w:jc w:val="both"/>
        <w:rPr>
          <w:rFonts w:ascii="Times New Roman" w:hAnsi="Times New Roman" w:cs="Times New Roman"/>
          <w:bCs/>
          <w:sz w:val="28"/>
          <w:szCs w:val="28"/>
        </w:rPr>
      </w:pPr>
      <w:r w:rsidRPr="00B644BF">
        <w:rPr>
          <w:rFonts w:ascii="Times New Roman" w:hAnsi="Times New Roman" w:cs="Times New Roman"/>
          <w:bCs/>
          <w:sz w:val="28"/>
          <w:szCs w:val="28"/>
        </w:rPr>
        <w:t>3 работника будут приняты из внешних источников (работники ветеринарии);</w:t>
      </w:r>
    </w:p>
    <w:p w:rsidR="007F244E" w:rsidRPr="00B644BF" w:rsidRDefault="007F244E" w:rsidP="005E1127">
      <w:pPr>
        <w:numPr>
          <w:ilvl w:val="0"/>
          <w:numId w:val="30"/>
        </w:numPr>
        <w:tabs>
          <w:tab w:val="left" w:pos="993"/>
        </w:tabs>
        <w:spacing w:after="0" w:line="240" w:lineRule="auto"/>
        <w:ind w:left="0" w:firstLine="709"/>
        <w:jc w:val="both"/>
        <w:rPr>
          <w:rFonts w:ascii="Times New Roman" w:hAnsi="Times New Roman" w:cs="Times New Roman"/>
          <w:bCs/>
          <w:sz w:val="28"/>
          <w:szCs w:val="28"/>
        </w:rPr>
      </w:pPr>
      <w:r w:rsidRPr="00B644BF">
        <w:rPr>
          <w:rFonts w:ascii="Times New Roman" w:hAnsi="Times New Roman" w:cs="Times New Roman"/>
          <w:bCs/>
          <w:sz w:val="28"/>
          <w:szCs w:val="28"/>
        </w:rPr>
        <w:t>2 работника будут выведены из штатного расписания в неосновной вид деятельности.</w:t>
      </w:r>
    </w:p>
    <w:p w:rsidR="007F244E" w:rsidRPr="00B644BF" w:rsidRDefault="007F244E" w:rsidP="005E1127">
      <w:pPr>
        <w:spacing w:after="0" w:line="240" w:lineRule="auto"/>
        <w:ind w:firstLine="709"/>
        <w:jc w:val="both"/>
        <w:rPr>
          <w:rFonts w:ascii="Times New Roman" w:hAnsi="Times New Roman" w:cs="Times New Roman"/>
          <w:bCs/>
          <w:sz w:val="28"/>
          <w:szCs w:val="28"/>
        </w:rPr>
      </w:pPr>
      <w:r w:rsidRPr="00B644BF">
        <w:rPr>
          <w:rFonts w:ascii="Times New Roman" w:hAnsi="Times New Roman" w:cs="Times New Roman"/>
          <w:bCs/>
          <w:sz w:val="28"/>
          <w:szCs w:val="28"/>
        </w:rPr>
        <w:t>Рассчитаем экономический эффект, с учетом новой структуры управления:</w:t>
      </w:r>
    </w:p>
    <w:p w:rsidR="007F244E" w:rsidRPr="00B644BF" w:rsidRDefault="007F244E" w:rsidP="005E1127">
      <w:pPr>
        <w:numPr>
          <w:ilvl w:val="0"/>
          <w:numId w:val="30"/>
        </w:numPr>
        <w:tabs>
          <w:tab w:val="left" w:pos="993"/>
        </w:tabs>
        <w:spacing w:after="0" w:line="240" w:lineRule="auto"/>
        <w:ind w:left="0" w:firstLine="709"/>
        <w:jc w:val="both"/>
        <w:rPr>
          <w:rFonts w:ascii="Times New Roman" w:hAnsi="Times New Roman" w:cs="Times New Roman"/>
          <w:bCs/>
          <w:sz w:val="28"/>
          <w:szCs w:val="28"/>
        </w:rPr>
      </w:pPr>
      <w:r w:rsidRPr="00B644BF">
        <w:rPr>
          <w:rFonts w:ascii="Times New Roman" w:hAnsi="Times New Roman" w:cs="Times New Roman"/>
          <w:bCs/>
          <w:sz w:val="28"/>
          <w:szCs w:val="28"/>
        </w:rPr>
        <w:t>выплата компенсации юрисконсульту – 5,97 тыс. руб.;</w:t>
      </w:r>
    </w:p>
    <w:p w:rsidR="007F244E" w:rsidRPr="00B644BF" w:rsidRDefault="007F244E" w:rsidP="005E1127">
      <w:pPr>
        <w:numPr>
          <w:ilvl w:val="0"/>
          <w:numId w:val="30"/>
        </w:numPr>
        <w:tabs>
          <w:tab w:val="left" w:pos="993"/>
        </w:tabs>
        <w:spacing w:after="0" w:line="240" w:lineRule="auto"/>
        <w:ind w:left="0" w:firstLine="709"/>
        <w:jc w:val="both"/>
        <w:rPr>
          <w:rFonts w:ascii="Times New Roman" w:hAnsi="Times New Roman" w:cs="Times New Roman"/>
          <w:bCs/>
          <w:sz w:val="28"/>
          <w:szCs w:val="28"/>
        </w:rPr>
      </w:pPr>
      <w:r w:rsidRPr="00B644BF">
        <w:rPr>
          <w:rFonts w:ascii="Times New Roman" w:hAnsi="Times New Roman" w:cs="Times New Roman"/>
          <w:bCs/>
          <w:sz w:val="28"/>
          <w:szCs w:val="28"/>
        </w:rPr>
        <w:t>принятие 3 работников ветеринарными врачами – 3 чел. * 1989 руб. * 12 мес. /1000 = 71,6 тыс. руб.;</w:t>
      </w:r>
    </w:p>
    <w:p w:rsidR="007F244E" w:rsidRPr="00B644BF" w:rsidRDefault="007F244E" w:rsidP="005E1127">
      <w:pPr>
        <w:numPr>
          <w:ilvl w:val="0"/>
          <w:numId w:val="30"/>
        </w:numPr>
        <w:tabs>
          <w:tab w:val="left" w:pos="993"/>
        </w:tabs>
        <w:spacing w:after="0" w:line="240" w:lineRule="auto"/>
        <w:ind w:left="0" w:firstLine="709"/>
        <w:jc w:val="both"/>
        <w:rPr>
          <w:rFonts w:ascii="Times New Roman" w:hAnsi="Times New Roman" w:cs="Times New Roman"/>
          <w:bCs/>
          <w:sz w:val="28"/>
          <w:szCs w:val="28"/>
        </w:rPr>
      </w:pPr>
      <w:r w:rsidRPr="00B644BF">
        <w:rPr>
          <w:rFonts w:ascii="Times New Roman" w:hAnsi="Times New Roman" w:cs="Times New Roman"/>
          <w:bCs/>
          <w:sz w:val="28"/>
          <w:szCs w:val="28"/>
        </w:rPr>
        <w:lastRenderedPageBreak/>
        <w:t>экономия заработной платы за счет сокращения 4 работников: 4 чел. * 1989 руб. * 12 мес. /1000 = 95,5 тыс. руб.</w:t>
      </w:r>
    </w:p>
    <w:p w:rsidR="007F244E" w:rsidRPr="00B644BF" w:rsidRDefault="007F244E" w:rsidP="005E1127">
      <w:pPr>
        <w:numPr>
          <w:ilvl w:val="0"/>
          <w:numId w:val="30"/>
        </w:numPr>
        <w:tabs>
          <w:tab w:val="left" w:pos="993"/>
        </w:tabs>
        <w:spacing w:after="0" w:line="240" w:lineRule="auto"/>
        <w:ind w:left="0" w:firstLine="709"/>
        <w:jc w:val="both"/>
        <w:rPr>
          <w:rFonts w:ascii="Times New Roman" w:hAnsi="Times New Roman" w:cs="Times New Roman"/>
          <w:bCs/>
          <w:sz w:val="28"/>
          <w:szCs w:val="28"/>
        </w:rPr>
      </w:pPr>
      <w:r w:rsidRPr="00B644BF">
        <w:rPr>
          <w:rFonts w:ascii="Times New Roman" w:hAnsi="Times New Roman" w:cs="Times New Roman"/>
          <w:bCs/>
          <w:sz w:val="28"/>
          <w:szCs w:val="28"/>
        </w:rPr>
        <w:t>общая экономия финансовых средств составит 17,93 тыс. руб., что отразится на росте чистой прибыли предприятия.</w:t>
      </w:r>
    </w:p>
    <w:p w:rsidR="007F244E" w:rsidRPr="00B644BF" w:rsidRDefault="007F244E" w:rsidP="005E1127">
      <w:pPr>
        <w:spacing w:after="0" w:line="240" w:lineRule="auto"/>
        <w:ind w:firstLine="709"/>
        <w:jc w:val="both"/>
        <w:rPr>
          <w:rFonts w:ascii="Times New Roman" w:hAnsi="Times New Roman" w:cs="Times New Roman"/>
          <w:bCs/>
          <w:sz w:val="28"/>
          <w:szCs w:val="28"/>
        </w:rPr>
      </w:pPr>
      <w:r w:rsidRPr="00B644BF">
        <w:rPr>
          <w:rFonts w:ascii="Times New Roman" w:hAnsi="Times New Roman" w:cs="Times New Roman"/>
          <w:bCs/>
          <w:sz w:val="28"/>
          <w:szCs w:val="28"/>
        </w:rPr>
        <w:t>Обобщим экономический эффект от внедрения описанных мероприятий.</w:t>
      </w:r>
    </w:p>
    <w:p w:rsidR="007F244E" w:rsidRPr="00B644BF" w:rsidRDefault="007F244E" w:rsidP="007F244E">
      <w:pPr>
        <w:spacing w:after="0" w:line="240" w:lineRule="auto"/>
        <w:ind w:firstLine="709"/>
        <w:jc w:val="both"/>
        <w:rPr>
          <w:rFonts w:ascii="Times New Roman" w:hAnsi="Times New Roman" w:cs="Times New Roman"/>
          <w:bCs/>
          <w:sz w:val="28"/>
          <w:szCs w:val="28"/>
        </w:rPr>
      </w:pPr>
    </w:p>
    <w:p w:rsidR="007F244E" w:rsidRPr="00B644BF" w:rsidRDefault="007F244E" w:rsidP="007F244E">
      <w:pPr>
        <w:spacing w:after="0"/>
        <w:rPr>
          <w:rFonts w:ascii="Times New Roman" w:eastAsia="Times New Roman" w:hAnsi="Times New Roman" w:cs="Times New Roman"/>
          <w:sz w:val="28"/>
          <w:szCs w:val="28"/>
        </w:rPr>
      </w:pPr>
      <w:r w:rsidRPr="00B644BF">
        <w:rPr>
          <w:rFonts w:ascii="Times New Roman" w:eastAsia="Times New Roman" w:hAnsi="Times New Roman" w:cs="Times New Roman"/>
          <w:sz w:val="28"/>
          <w:szCs w:val="28"/>
        </w:rPr>
        <w:t>Таблица 1 – Экономический эффект от внедряемых мероприятий</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5"/>
        <w:gridCol w:w="1134"/>
        <w:gridCol w:w="1134"/>
        <w:gridCol w:w="1559"/>
      </w:tblGrid>
      <w:tr w:rsidR="007F244E" w:rsidRPr="00B644BF" w:rsidTr="00D60961">
        <w:tc>
          <w:tcPr>
            <w:tcW w:w="5245" w:type="dxa"/>
            <w:vAlign w:val="center"/>
          </w:tcPr>
          <w:p w:rsidR="007F244E" w:rsidRPr="00B644BF" w:rsidRDefault="007F244E" w:rsidP="00D60961">
            <w:pPr>
              <w:spacing w:after="0" w:line="240" w:lineRule="auto"/>
              <w:jc w:val="center"/>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Показатель</w:t>
            </w:r>
          </w:p>
        </w:tc>
        <w:tc>
          <w:tcPr>
            <w:tcW w:w="1134" w:type="dxa"/>
            <w:vAlign w:val="center"/>
          </w:tcPr>
          <w:p w:rsidR="007F244E" w:rsidRPr="00B644BF" w:rsidRDefault="007F244E" w:rsidP="00D60961">
            <w:pPr>
              <w:spacing w:after="0" w:line="240" w:lineRule="auto"/>
              <w:jc w:val="center"/>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Факт</w:t>
            </w:r>
          </w:p>
        </w:tc>
        <w:tc>
          <w:tcPr>
            <w:tcW w:w="1134" w:type="dxa"/>
            <w:vAlign w:val="center"/>
          </w:tcPr>
          <w:p w:rsidR="007F244E" w:rsidRPr="00B644BF" w:rsidRDefault="007F244E" w:rsidP="00D60961">
            <w:pPr>
              <w:spacing w:after="0" w:line="240" w:lineRule="auto"/>
              <w:jc w:val="center"/>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План</w:t>
            </w:r>
          </w:p>
        </w:tc>
        <w:tc>
          <w:tcPr>
            <w:tcW w:w="1559" w:type="dxa"/>
            <w:vAlign w:val="center"/>
          </w:tcPr>
          <w:p w:rsidR="007F244E" w:rsidRPr="00B644BF" w:rsidRDefault="007F244E" w:rsidP="00D60961">
            <w:pPr>
              <w:spacing w:after="0" w:line="240" w:lineRule="auto"/>
              <w:jc w:val="center"/>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Отклонение, %</w:t>
            </w:r>
          </w:p>
        </w:tc>
      </w:tr>
      <w:tr w:rsidR="007F244E" w:rsidRPr="00B644BF" w:rsidTr="00D60961">
        <w:tc>
          <w:tcPr>
            <w:tcW w:w="5245" w:type="dxa"/>
            <w:vAlign w:val="center"/>
          </w:tcPr>
          <w:p w:rsidR="007F244E" w:rsidRPr="00B644BF" w:rsidRDefault="007F244E" w:rsidP="00D60961">
            <w:pPr>
              <w:spacing w:after="0" w:line="240" w:lineRule="auto"/>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Среднесписочная численность работников, чел.</w:t>
            </w:r>
          </w:p>
        </w:tc>
        <w:tc>
          <w:tcPr>
            <w:tcW w:w="1134" w:type="dxa"/>
            <w:vAlign w:val="center"/>
          </w:tcPr>
          <w:p w:rsidR="007F244E" w:rsidRPr="00B644BF" w:rsidRDefault="007F244E" w:rsidP="00D60961">
            <w:pPr>
              <w:spacing w:after="0" w:line="240" w:lineRule="auto"/>
              <w:jc w:val="center"/>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347</w:t>
            </w:r>
          </w:p>
        </w:tc>
        <w:tc>
          <w:tcPr>
            <w:tcW w:w="1134" w:type="dxa"/>
            <w:vAlign w:val="center"/>
          </w:tcPr>
          <w:p w:rsidR="007F244E" w:rsidRPr="00B644BF" w:rsidRDefault="007F244E" w:rsidP="00D60961">
            <w:pPr>
              <w:spacing w:after="0" w:line="240" w:lineRule="auto"/>
              <w:jc w:val="center"/>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344</w:t>
            </w:r>
          </w:p>
        </w:tc>
        <w:tc>
          <w:tcPr>
            <w:tcW w:w="1559" w:type="dxa"/>
            <w:vAlign w:val="center"/>
          </w:tcPr>
          <w:p w:rsidR="007F244E" w:rsidRPr="00B644BF" w:rsidRDefault="007F244E" w:rsidP="00D60961">
            <w:pPr>
              <w:spacing w:after="0" w:line="240" w:lineRule="auto"/>
              <w:jc w:val="center"/>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99,1</w:t>
            </w:r>
          </w:p>
        </w:tc>
      </w:tr>
      <w:tr w:rsidR="007F244E" w:rsidRPr="00B644BF" w:rsidTr="00D60961">
        <w:tc>
          <w:tcPr>
            <w:tcW w:w="5245" w:type="dxa"/>
            <w:vAlign w:val="center"/>
          </w:tcPr>
          <w:p w:rsidR="007F244E" w:rsidRPr="00B644BF" w:rsidRDefault="007F244E" w:rsidP="00D60961">
            <w:pPr>
              <w:spacing w:after="0" w:line="240" w:lineRule="auto"/>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Численность служащих, чел.</w:t>
            </w:r>
          </w:p>
        </w:tc>
        <w:tc>
          <w:tcPr>
            <w:tcW w:w="1134" w:type="dxa"/>
            <w:vAlign w:val="center"/>
          </w:tcPr>
          <w:p w:rsidR="007F244E" w:rsidRPr="00B644BF" w:rsidRDefault="007F244E" w:rsidP="00D60961">
            <w:pPr>
              <w:spacing w:after="0" w:line="240" w:lineRule="auto"/>
              <w:jc w:val="center"/>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82</w:t>
            </w:r>
          </w:p>
        </w:tc>
        <w:tc>
          <w:tcPr>
            <w:tcW w:w="1134" w:type="dxa"/>
            <w:vAlign w:val="center"/>
          </w:tcPr>
          <w:p w:rsidR="007F244E" w:rsidRPr="00B644BF" w:rsidRDefault="007F244E" w:rsidP="00D60961">
            <w:pPr>
              <w:spacing w:after="0" w:line="240" w:lineRule="auto"/>
              <w:jc w:val="center"/>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77</w:t>
            </w:r>
          </w:p>
        </w:tc>
        <w:tc>
          <w:tcPr>
            <w:tcW w:w="1559" w:type="dxa"/>
            <w:vAlign w:val="bottom"/>
          </w:tcPr>
          <w:p w:rsidR="007F244E" w:rsidRPr="00B644BF" w:rsidRDefault="007F244E" w:rsidP="00D60961">
            <w:pPr>
              <w:spacing w:after="0" w:line="240" w:lineRule="auto"/>
              <w:jc w:val="center"/>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93,9</w:t>
            </w:r>
          </w:p>
        </w:tc>
      </w:tr>
      <w:tr w:rsidR="007F244E" w:rsidRPr="00B644BF" w:rsidTr="00D60961">
        <w:tc>
          <w:tcPr>
            <w:tcW w:w="5245" w:type="dxa"/>
            <w:vAlign w:val="center"/>
          </w:tcPr>
          <w:p w:rsidR="007F244E" w:rsidRPr="00B644BF" w:rsidRDefault="007F244E" w:rsidP="00D60961">
            <w:pPr>
              <w:spacing w:after="0" w:line="240" w:lineRule="auto"/>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Удельный вес служащих в численности, %</w:t>
            </w:r>
          </w:p>
        </w:tc>
        <w:tc>
          <w:tcPr>
            <w:tcW w:w="1134" w:type="dxa"/>
            <w:vAlign w:val="center"/>
          </w:tcPr>
          <w:p w:rsidR="007F244E" w:rsidRPr="00B644BF" w:rsidRDefault="007F244E" w:rsidP="00D60961">
            <w:pPr>
              <w:spacing w:after="0" w:line="240" w:lineRule="auto"/>
              <w:jc w:val="center"/>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23,6</w:t>
            </w:r>
          </w:p>
        </w:tc>
        <w:tc>
          <w:tcPr>
            <w:tcW w:w="1134" w:type="dxa"/>
            <w:vAlign w:val="center"/>
          </w:tcPr>
          <w:p w:rsidR="007F244E" w:rsidRPr="00B644BF" w:rsidRDefault="007F244E" w:rsidP="00D60961">
            <w:pPr>
              <w:spacing w:after="0" w:line="240" w:lineRule="auto"/>
              <w:jc w:val="center"/>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22,4</w:t>
            </w:r>
          </w:p>
        </w:tc>
        <w:tc>
          <w:tcPr>
            <w:tcW w:w="1559" w:type="dxa"/>
            <w:vAlign w:val="bottom"/>
          </w:tcPr>
          <w:p w:rsidR="007F244E" w:rsidRPr="00B644BF" w:rsidRDefault="007F244E" w:rsidP="00D60961">
            <w:pPr>
              <w:spacing w:after="0" w:line="240" w:lineRule="auto"/>
              <w:jc w:val="center"/>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-1,2 п.п.</w:t>
            </w:r>
          </w:p>
        </w:tc>
      </w:tr>
      <w:tr w:rsidR="007F244E" w:rsidRPr="00B644BF" w:rsidTr="00D60961">
        <w:tc>
          <w:tcPr>
            <w:tcW w:w="5245" w:type="dxa"/>
            <w:vAlign w:val="center"/>
          </w:tcPr>
          <w:p w:rsidR="007F244E" w:rsidRPr="00B644BF" w:rsidRDefault="007F244E" w:rsidP="00D60961">
            <w:pPr>
              <w:spacing w:after="0" w:line="240" w:lineRule="auto"/>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Объем валовой продукции, тыс. руб.</w:t>
            </w:r>
          </w:p>
        </w:tc>
        <w:tc>
          <w:tcPr>
            <w:tcW w:w="2268" w:type="dxa"/>
            <w:gridSpan w:val="2"/>
            <w:vAlign w:val="center"/>
          </w:tcPr>
          <w:p w:rsidR="007F244E" w:rsidRPr="00B644BF" w:rsidRDefault="007F244E" w:rsidP="00D60961">
            <w:pPr>
              <w:spacing w:after="0" w:line="240" w:lineRule="auto"/>
              <w:jc w:val="center"/>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48813</w:t>
            </w:r>
          </w:p>
        </w:tc>
        <w:tc>
          <w:tcPr>
            <w:tcW w:w="1559" w:type="dxa"/>
            <w:vAlign w:val="center"/>
          </w:tcPr>
          <w:p w:rsidR="007F244E" w:rsidRPr="00B644BF" w:rsidRDefault="007F244E" w:rsidP="00D60961">
            <w:pPr>
              <w:spacing w:after="0" w:line="240" w:lineRule="auto"/>
              <w:jc w:val="center"/>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w:t>
            </w:r>
          </w:p>
        </w:tc>
      </w:tr>
      <w:tr w:rsidR="007F244E" w:rsidRPr="00B644BF" w:rsidTr="00D60961">
        <w:tc>
          <w:tcPr>
            <w:tcW w:w="5245" w:type="dxa"/>
            <w:vAlign w:val="center"/>
          </w:tcPr>
          <w:p w:rsidR="007F244E" w:rsidRPr="00B644BF" w:rsidRDefault="007F244E" w:rsidP="00D60961">
            <w:pPr>
              <w:spacing w:after="0" w:line="240" w:lineRule="auto"/>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Объем выручки, тыс. руб.</w:t>
            </w:r>
          </w:p>
        </w:tc>
        <w:tc>
          <w:tcPr>
            <w:tcW w:w="2268" w:type="dxa"/>
            <w:gridSpan w:val="2"/>
            <w:vAlign w:val="center"/>
          </w:tcPr>
          <w:p w:rsidR="007F244E" w:rsidRPr="00B644BF" w:rsidRDefault="007F244E" w:rsidP="00D60961">
            <w:pPr>
              <w:spacing w:after="0" w:line="240" w:lineRule="auto"/>
              <w:jc w:val="center"/>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44834</w:t>
            </w:r>
          </w:p>
        </w:tc>
        <w:tc>
          <w:tcPr>
            <w:tcW w:w="1559" w:type="dxa"/>
            <w:vAlign w:val="center"/>
          </w:tcPr>
          <w:p w:rsidR="007F244E" w:rsidRPr="00B644BF" w:rsidRDefault="007F244E" w:rsidP="00D60961">
            <w:pPr>
              <w:spacing w:after="0" w:line="240" w:lineRule="auto"/>
              <w:jc w:val="center"/>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w:t>
            </w:r>
          </w:p>
        </w:tc>
      </w:tr>
      <w:tr w:rsidR="007F244E" w:rsidRPr="00B644BF" w:rsidTr="00D60961">
        <w:tc>
          <w:tcPr>
            <w:tcW w:w="5245" w:type="dxa"/>
            <w:vAlign w:val="center"/>
          </w:tcPr>
          <w:p w:rsidR="007F244E" w:rsidRPr="00B644BF" w:rsidRDefault="007F244E" w:rsidP="00D60961">
            <w:pPr>
              <w:spacing w:after="0" w:line="240" w:lineRule="auto"/>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Объем чистой прибыли, тыс. руб.</w:t>
            </w:r>
          </w:p>
        </w:tc>
        <w:tc>
          <w:tcPr>
            <w:tcW w:w="1134" w:type="dxa"/>
            <w:vAlign w:val="center"/>
          </w:tcPr>
          <w:p w:rsidR="007F244E" w:rsidRPr="00B644BF" w:rsidRDefault="007F244E" w:rsidP="00D60961">
            <w:pPr>
              <w:spacing w:after="0" w:line="240" w:lineRule="auto"/>
              <w:jc w:val="center"/>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4576</w:t>
            </w:r>
          </w:p>
        </w:tc>
        <w:tc>
          <w:tcPr>
            <w:tcW w:w="1134" w:type="dxa"/>
            <w:vAlign w:val="center"/>
          </w:tcPr>
          <w:p w:rsidR="007F244E" w:rsidRPr="00B644BF" w:rsidRDefault="007F244E" w:rsidP="00D60961">
            <w:pPr>
              <w:spacing w:after="0" w:line="240" w:lineRule="auto"/>
              <w:jc w:val="center"/>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5829,8</w:t>
            </w:r>
          </w:p>
        </w:tc>
        <w:tc>
          <w:tcPr>
            <w:tcW w:w="1559" w:type="dxa"/>
            <w:vAlign w:val="bottom"/>
          </w:tcPr>
          <w:p w:rsidR="007F244E" w:rsidRPr="00B644BF" w:rsidRDefault="007F244E" w:rsidP="00D60961">
            <w:pPr>
              <w:spacing w:after="0" w:line="240" w:lineRule="auto"/>
              <w:jc w:val="center"/>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127,4</w:t>
            </w:r>
          </w:p>
        </w:tc>
      </w:tr>
      <w:tr w:rsidR="007F244E" w:rsidRPr="00B644BF" w:rsidTr="00D60961">
        <w:tc>
          <w:tcPr>
            <w:tcW w:w="5245" w:type="dxa"/>
            <w:vAlign w:val="center"/>
          </w:tcPr>
          <w:p w:rsidR="007F244E" w:rsidRPr="00B644BF" w:rsidRDefault="007F244E" w:rsidP="00D60961">
            <w:pPr>
              <w:spacing w:after="0" w:line="240" w:lineRule="auto"/>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Объем выручки на 1 работника, тыс. руб.</w:t>
            </w:r>
          </w:p>
        </w:tc>
        <w:tc>
          <w:tcPr>
            <w:tcW w:w="1134" w:type="dxa"/>
            <w:vAlign w:val="center"/>
          </w:tcPr>
          <w:p w:rsidR="007F244E" w:rsidRPr="00B644BF" w:rsidRDefault="007F244E" w:rsidP="00D60961">
            <w:pPr>
              <w:spacing w:after="0" w:line="240" w:lineRule="auto"/>
              <w:jc w:val="center"/>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129.2</w:t>
            </w:r>
          </w:p>
        </w:tc>
        <w:tc>
          <w:tcPr>
            <w:tcW w:w="1134" w:type="dxa"/>
            <w:vAlign w:val="center"/>
          </w:tcPr>
          <w:p w:rsidR="007F244E" w:rsidRPr="00B644BF" w:rsidRDefault="007F244E" w:rsidP="00D60961">
            <w:pPr>
              <w:spacing w:after="0" w:line="240" w:lineRule="auto"/>
              <w:jc w:val="center"/>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130,3</w:t>
            </w:r>
          </w:p>
        </w:tc>
        <w:tc>
          <w:tcPr>
            <w:tcW w:w="1559" w:type="dxa"/>
            <w:vAlign w:val="bottom"/>
          </w:tcPr>
          <w:p w:rsidR="007F244E" w:rsidRPr="00B644BF" w:rsidRDefault="007F244E" w:rsidP="00D60961">
            <w:pPr>
              <w:spacing w:after="0" w:line="240" w:lineRule="auto"/>
              <w:jc w:val="center"/>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100,9</w:t>
            </w:r>
          </w:p>
        </w:tc>
      </w:tr>
      <w:tr w:rsidR="007F244E" w:rsidRPr="00B644BF" w:rsidTr="00D60961">
        <w:tc>
          <w:tcPr>
            <w:tcW w:w="5245" w:type="dxa"/>
            <w:vAlign w:val="center"/>
          </w:tcPr>
          <w:p w:rsidR="007F244E" w:rsidRPr="00B644BF" w:rsidRDefault="007F244E" w:rsidP="00D60961">
            <w:pPr>
              <w:spacing w:after="0" w:line="240" w:lineRule="auto"/>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Объем выручки на 1 служащего, тыс. руб.</w:t>
            </w:r>
          </w:p>
        </w:tc>
        <w:tc>
          <w:tcPr>
            <w:tcW w:w="1134" w:type="dxa"/>
            <w:vAlign w:val="center"/>
          </w:tcPr>
          <w:p w:rsidR="007F244E" w:rsidRPr="00B644BF" w:rsidRDefault="007F244E" w:rsidP="00D60961">
            <w:pPr>
              <w:spacing w:after="0" w:line="240" w:lineRule="auto"/>
              <w:jc w:val="center"/>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546,8</w:t>
            </w:r>
          </w:p>
        </w:tc>
        <w:tc>
          <w:tcPr>
            <w:tcW w:w="1134" w:type="dxa"/>
            <w:vAlign w:val="center"/>
          </w:tcPr>
          <w:p w:rsidR="007F244E" w:rsidRPr="00B644BF" w:rsidRDefault="007F244E" w:rsidP="00D60961">
            <w:pPr>
              <w:spacing w:after="0" w:line="240" w:lineRule="auto"/>
              <w:jc w:val="center"/>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582,3</w:t>
            </w:r>
          </w:p>
        </w:tc>
        <w:tc>
          <w:tcPr>
            <w:tcW w:w="1559" w:type="dxa"/>
            <w:vAlign w:val="bottom"/>
          </w:tcPr>
          <w:p w:rsidR="007F244E" w:rsidRPr="00B644BF" w:rsidRDefault="007F244E" w:rsidP="00D60961">
            <w:pPr>
              <w:spacing w:after="0" w:line="240" w:lineRule="auto"/>
              <w:jc w:val="center"/>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106,5</w:t>
            </w:r>
          </w:p>
        </w:tc>
      </w:tr>
      <w:tr w:rsidR="007F244E" w:rsidRPr="00B644BF" w:rsidTr="00D60961">
        <w:tc>
          <w:tcPr>
            <w:tcW w:w="5245" w:type="dxa"/>
            <w:vAlign w:val="center"/>
          </w:tcPr>
          <w:p w:rsidR="007F244E" w:rsidRPr="00B644BF" w:rsidRDefault="007F244E" w:rsidP="00D60961">
            <w:pPr>
              <w:spacing w:after="0" w:line="240" w:lineRule="auto"/>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Объем продукции на 1 работника, тыс. руб.</w:t>
            </w:r>
          </w:p>
        </w:tc>
        <w:tc>
          <w:tcPr>
            <w:tcW w:w="1134" w:type="dxa"/>
            <w:vAlign w:val="center"/>
          </w:tcPr>
          <w:p w:rsidR="007F244E" w:rsidRPr="00B644BF" w:rsidRDefault="007F244E" w:rsidP="00D60961">
            <w:pPr>
              <w:spacing w:after="0" w:line="240" w:lineRule="auto"/>
              <w:jc w:val="center"/>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140,7</w:t>
            </w:r>
          </w:p>
        </w:tc>
        <w:tc>
          <w:tcPr>
            <w:tcW w:w="1134" w:type="dxa"/>
            <w:vAlign w:val="center"/>
          </w:tcPr>
          <w:p w:rsidR="007F244E" w:rsidRPr="00B644BF" w:rsidRDefault="007F244E" w:rsidP="00D60961">
            <w:pPr>
              <w:spacing w:after="0" w:line="240" w:lineRule="auto"/>
              <w:jc w:val="center"/>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141,9</w:t>
            </w:r>
          </w:p>
        </w:tc>
        <w:tc>
          <w:tcPr>
            <w:tcW w:w="1559" w:type="dxa"/>
            <w:vAlign w:val="bottom"/>
          </w:tcPr>
          <w:p w:rsidR="007F244E" w:rsidRPr="00B644BF" w:rsidRDefault="007F244E" w:rsidP="00D60961">
            <w:pPr>
              <w:spacing w:after="0" w:line="240" w:lineRule="auto"/>
              <w:jc w:val="center"/>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100,9</w:t>
            </w:r>
          </w:p>
        </w:tc>
      </w:tr>
      <w:tr w:rsidR="007F244E" w:rsidRPr="00B644BF" w:rsidTr="00D60961">
        <w:tc>
          <w:tcPr>
            <w:tcW w:w="5245" w:type="dxa"/>
            <w:vAlign w:val="center"/>
          </w:tcPr>
          <w:p w:rsidR="007F244E" w:rsidRPr="00B644BF" w:rsidRDefault="007F244E" w:rsidP="00D60961">
            <w:pPr>
              <w:spacing w:after="0" w:line="240" w:lineRule="auto"/>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Объем продукции на 1 служащего, тыс. руб.</w:t>
            </w:r>
          </w:p>
        </w:tc>
        <w:tc>
          <w:tcPr>
            <w:tcW w:w="1134" w:type="dxa"/>
            <w:vAlign w:val="center"/>
          </w:tcPr>
          <w:p w:rsidR="007F244E" w:rsidRPr="00B644BF" w:rsidRDefault="007F244E" w:rsidP="00D60961">
            <w:pPr>
              <w:spacing w:after="0" w:line="240" w:lineRule="auto"/>
              <w:jc w:val="center"/>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595,3</w:t>
            </w:r>
          </w:p>
        </w:tc>
        <w:tc>
          <w:tcPr>
            <w:tcW w:w="1134" w:type="dxa"/>
            <w:vAlign w:val="center"/>
          </w:tcPr>
          <w:p w:rsidR="007F244E" w:rsidRPr="00B644BF" w:rsidRDefault="007F244E" w:rsidP="00D60961">
            <w:pPr>
              <w:spacing w:after="0" w:line="240" w:lineRule="auto"/>
              <w:jc w:val="center"/>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633,9</w:t>
            </w:r>
          </w:p>
        </w:tc>
        <w:tc>
          <w:tcPr>
            <w:tcW w:w="1559" w:type="dxa"/>
            <w:vAlign w:val="bottom"/>
          </w:tcPr>
          <w:p w:rsidR="007F244E" w:rsidRPr="00B644BF" w:rsidRDefault="007F244E" w:rsidP="00D60961">
            <w:pPr>
              <w:spacing w:after="0" w:line="240" w:lineRule="auto"/>
              <w:jc w:val="center"/>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106,5</w:t>
            </w:r>
          </w:p>
        </w:tc>
      </w:tr>
      <w:tr w:rsidR="007F244E" w:rsidRPr="00B644BF" w:rsidTr="00D60961">
        <w:tc>
          <w:tcPr>
            <w:tcW w:w="5245" w:type="dxa"/>
            <w:vAlign w:val="center"/>
          </w:tcPr>
          <w:p w:rsidR="007F244E" w:rsidRPr="00B644BF" w:rsidRDefault="007F244E" w:rsidP="00D60961">
            <w:pPr>
              <w:spacing w:after="0" w:line="240" w:lineRule="auto"/>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Объем прибыли на 1 работника, тыс. руб.</w:t>
            </w:r>
          </w:p>
        </w:tc>
        <w:tc>
          <w:tcPr>
            <w:tcW w:w="1134" w:type="dxa"/>
            <w:vAlign w:val="center"/>
          </w:tcPr>
          <w:p w:rsidR="007F244E" w:rsidRPr="00B644BF" w:rsidRDefault="007F244E" w:rsidP="00D60961">
            <w:pPr>
              <w:spacing w:after="0" w:line="240" w:lineRule="auto"/>
              <w:jc w:val="center"/>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13,2</w:t>
            </w:r>
          </w:p>
        </w:tc>
        <w:tc>
          <w:tcPr>
            <w:tcW w:w="1134" w:type="dxa"/>
            <w:vAlign w:val="center"/>
          </w:tcPr>
          <w:p w:rsidR="007F244E" w:rsidRPr="00B644BF" w:rsidRDefault="007F244E" w:rsidP="00D60961">
            <w:pPr>
              <w:spacing w:after="0" w:line="240" w:lineRule="auto"/>
              <w:jc w:val="center"/>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16,9</w:t>
            </w:r>
          </w:p>
        </w:tc>
        <w:tc>
          <w:tcPr>
            <w:tcW w:w="1559" w:type="dxa"/>
            <w:vAlign w:val="bottom"/>
          </w:tcPr>
          <w:p w:rsidR="007F244E" w:rsidRPr="00B644BF" w:rsidRDefault="007F244E" w:rsidP="00D60961">
            <w:pPr>
              <w:spacing w:after="0" w:line="240" w:lineRule="auto"/>
              <w:jc w:val="center"/>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128,0</w:t>
            </w:r>
          </w:p>
        </w:tc>
      </w:tr>
      <w:tr w:rsidR="007F244E" w:rsidRPr="00B644BF" w:rsidTr="00D60961">
        <w:tc>
          <w:tcPr>
            <w:tcW w:w="5245" w:type="dxa"/>
            <w:vAlign w:val="center"/>
          </w:tcPr>
          <w:p w:rsidR="007F244E" w:rsidRPr="00B644BF" w:rsidRDefault="007F244E" w:rsidP="00D60961">
            <w:pPr>
              <w:spacing w:after="0" w:line="240" w:lineRule="auto"/>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Объем прибыли на 1 служащего, тыс. руб.</w:t>
            </w:r>
          </w:p>
        </w:tc>
        <w:tc>
          <w:tcPr>
            <w:tcW w:w="1134" w:type="dxa"/>
            <w:vAlign w:val="center"/>
          </w:tcPr>
          <w:p w:rsidR="007F244E" w:rsidRPr="00B644BF" w:rsidRDefault="007F244E" w:rsidP="00D60961">
            <w:pPr>
              <w:spacing w:after="0" w:line="240" w:lineRule="auto"/>
              <w:jc w:val="center"/>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39,67</w:t>
            </w:r>
          </w:p>
        </w:tc>
        <w:tc>
          <w:tcPr>
            <w:tcW w:w="1134" w:type="dxa"/>
            <w:vAlign w:val="center"/>
          </w:tcPr>
          <w:p w:rsidR="007F244E" w:rsidRPr="00B644BF" w:rsidRDefault="007F244E" w:rsidP="00D60961">
            <w:pPr>
              <w:spacing w:after="0" w:line="240" w:lineRule="auto"/>
              <w:jc w:val="center"/>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75,7</w:t>
            </w:r>
          </w:p>
        </w:tc>
        <w:tc>
          <w:tcPr>
            <w:tcW w:w="1559" w:type="dxa"/>
            <w:vAlign w:val="bottom"/>
          </w:tcPr>
          <w:p w:rsidR="007F244E" w:rsidRPr="00B644BF" w:rsidRDefault="007F244E" w:rsidP="00D60961">
            <w:pPr>
              <w:spacing w:after="0" w:line="240" w:lineRule="auto"/>
              <w:jc w:val="center"/>
              <w:rPr>
                <w:rFonts w:ascii="Times New Roman" w:eastAsia="Times New Roman" w:hAnsi="Times New Roman" w:cs="Times New Roman"/>
                <w:sz w:val="24"/>
                <w:szCs w:val="24"/>
              </w:rPr>
            </w:pPr>
            <w:r w:rsidRPr="00B644BF">
              <w:rPr>
                <w:rFonts w:ascii="Times New Roman" w:eastAsia="Times New Roman" w:hAnsi="Times New Roman" w:cs="Times New Roman"/>
                <w:sz w:val="24"/>
                <w:szCs w:val="24"/>
              </w:rPr>
              <w:t>135,7</w:t>
            </w:r>
          </w:p>
        </w:tc>
      </w:tr>
    </w:tbl>
    <w:p w:rsidR="007F244E" w:rsidRPr="00B644BF" w:rsidRDefault="007F244E" w:rsidP="007F244E">
      <w:pPr>
        <w:spacing w:after="0" w:line="240" w:lineRule="auto"/>
        <w:ind w:firstLine="709"/>
        <w:jc w:val="both"/>
        <w:rPr>
          <w:rFonts w:ascii="Times New Roman" w:hAnsi="Times New Roman" w:cs="Times New Roman"/>
          <w:bCs/>
          <w:sz w:val="28"/>
          <w:szCs w:val="28"/>
        </w:rPr>
      </w:pPr>
    </w:p>
    <w:p w:rsidR="007F244E" w:rsidRPr="00B644BF" w:rsidRDefault="007F244E" w:rsidP="007F244E">
      <w:pPr>
        <w:spacing w:after="0" w:line="240" w:lineRule="auto"/>
        <w:ind w:firstLine="709"/>
        <w:jc w:val="both"/>
        <w:rPr>
          <w:rFonts w:ascii="Times New Roman" w:hAnsi="Times New Roman" w:cs="Times New Roman"/>
          <w:bCs/>
          <w:sz w:val="28"/>
          <w:szCs w:val="28"/>
        </w:rPr>
      </w:pPr>
      <w:r w:rsidRPr="00B644BF">
        <w:rPr>
          <w:rFonts w:ascii="Times New Roman" w:hAnsi="Times New Roman" w:cs="Times New Roman"/>
          <w:bCs/>
          <w:sz w:val="28"/>
          <w:szCs w:val="28"/>
        </w:rPr>
        <w:t>Согласно данным, за счет оптимизации численности, среднесписочная численность работников имеет сокращение на 0,9%, а работников аппарата управления – на 6,1%, за счет чего доля служащего персонала снизится до 22,4%, что в целом также выше норматива, что объясняется спецификой трудовой деятельности.</w:t>
      </w:r>
    </w:p>
    <w:p w:rsidR="007F244E" w:rsidRPr="00B644BF" w:rsidRDefault="007F244E" w:rsidP="007F244E">
      <w:pPr>
        <w:spacing w:after="0" w:line="240" w:lineRule="auto"/>
        <w:ind w:firstLine="709"/>
        <w:jc w:val="both"/>
        <w:rPr>
          <w:rFonts w:ascii="Times New Roman" w:hAnsi="Times New Roman" w:cs="Times New Roman"/>
          <w:bCs/>
          <w:sz w:val="28"/>
          <w:szCs w:val="28"/>
        </w:rPr>
      </w:pPr>
      <w:r w:rsidRPr="00B644BF">
        <w:rPr>
          <w:rFonts w:ascii="Times New Roman" w:hAnsi="Times New Roman" w:cs="Times New Roman"/>
          <w:bCs/>
          <w:sz w:val="28"/>
          <w:szCs w:val="28"/>
        </w:rPr>
        <w:t>В целом, проведенная оптимизация штатной численности позволит увеличить объем полученной прибыли в расчете на одного специалиста на 35,7%.</w:t>
      </w:r>
    </w:p>
    <w:p w:rsidR="007F244E" w:rsidRPr="00B644BF" w:rsidRDefault="007F244E" w:rsidP="007F244E">
      <w:pPr>
        <w:spacing w:after="0" w:line="240" w:lineRule="auto"/>
        <w:ind w:firstLine="709"/>
        <w:jc w:val="both"/>
        <w:rPr>
          <w:rFonts w:ascii="Times New Roman" w:hAnsi="Times New Roman" w:cs="Times New Roman"/>
          <w:bCs/>
          <w:sz w:val="28"/>
          <w:szCs w:val="28"/>
        </w:rPr>
      </w:pPr>
      <w:r w:rsidRPr="00B644BF">
        <w:rPr>
          <w:rFonts w:ascii="Times New Roman" w:hAnsi="Times New Roman" w:cs="Times New Roman"/>
          <w:bCs/>
          <w:sz w:val="28"/>
          <w:szCs w:val="28"/>
        </w:rPr>
        <w:t>Подводя итог, можно отметить, что оптимизация деятельности в КПСУП «Гродненская птицефабрика» позволит предприятию получить выгодный экономический эффект, который заключается в получении прибыли и оптимизации штата работников для улучшения деятельности на перспективу.</w:t>
      </w:r>
    </w:p>
    <w:p w:rsidR="007F244E" w:rsidRPr="00B644BF" w:rsidRDefault="007F244E" w:rsidP="007F244E">
      <w:pPr>
        <w:spacing w:after="0" w:line="240" w:lineRule="auto"/>
        <w:ind w:firstLine="709"/>
        <w:jc w:val="both"/>
        <w:rPr>
          <w:rFonts w:ascii="Times New Roman" w:hAnsi="Times New Roman" w:cs="Times New Roman"/>
          <w:bCs/>
          <w:sz w:val="28"/>
          <w:szCs w:val="28"/>
        </w:rPr>
      </w:pPr>
    </w:p>
    <w:p w:rsidR="007F244E" w:rsidRPr="005E1127" w:rsidRDefault="007F244E" w:rsidP="007F244E">
      <w:pPr>
        <w:spacing w:after="0" w:line="240" w:lineRule="auto"/>
        <w:ind w:firstLine="284"/>
        <w:jc w:val="center"/>
        <w:rPr>
          <w:rFonts w:ascii="Times New Roman" w:eastAsia="SimSun" w:hAnsi="Times New Roman" w:cs="Times New Roman"/>
          <w:b/>
          <w:sz w:val="28"/>
          <w:szCs w:val="28"/>
        </w:rPr>
      </w:pPr>
      <w:r w:rsidRPr="005E1127">
        <w:rPr>
          <w:rFonts w:ascii="Times New Roman" w:eastAsia="SimSun" w:hAnsi="Times New Roman" w:cs="Times New Roman"/>
          <w:b/>
          <w:sz w:val="28"/>
          <w:szCs w:val="28"/>
        </w:rPr>
        <w:t>Список литературы</w:t>
      </w:r>
    </w:p>
    <w:p w:rsidR="007F244E" w:rsidRPr="00B644BF" w:rsidRDefault="005E1127" w:rsidP="005E1127">
      <w:pPr>
        <w:pStyle w:val="a7"/>
        <w:tabs>
          <w:tab w:val="left" w:pos="0"/>
          <w:tab w:val="left" w:pos="426"/>
          <w:tab w:val="left" w:pos="567"/>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7F244E" w:rsidRPr="00B644BF">
        <w:rPr>
          <w:rFonts w:ascii="Times New Roman" w:hAnsi="Times New Roman" w:cs="Times New Roman"/>
          <w:sz w:val="24"/>
          <w:szCs w:val="24"/>
        </w:rPr>
        <w:t>Об утверждении отраслевых норм численности служащих, занятых в сельском хозяйстве, и рекомендаций по отраслевым нормам численности служащих, занятых в сельском хозяйстве: Постановление Министерства сельского хозяйства и продовольствия Республики Беларусь от 15.03.2023 г. №35.</w:t>
      </w:r>
    </w:p>
    <w:p w:rsidR="007F244E" w:rsidRPr="00B644BF" w:rsidRDefault="005E1127" w:rsidP="005E1127">
      <w:pPr>
        <w:pStyle w:val="afa"/>
        <w:tabs>
          <w:tab w:val="left" w:pos="0"/>
          <w:tab w:val="left" w:pos="284"/>
          <w:tab w:val="left" w:pos="426"/>
          <w:tab w:val="left" w:pos="567"/>
        </w:tabs>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r w:rsidR="007F244E" w:rsidRPr="00B644BF">
        <w:rPr>
          <w:rFonts w:ascii="Times New Roman" w:hAnsi="Times New Roman"/>
          <w:sz w:val="24"/>
          <w:szCs w:val="24"/>
        </w:rPr>
        <w:t>Поршнев,  А. Г. Управление организацией. Учебник / А. Г. Поршнев, З. П. Румянцева, Н. А. Саломатина. - 3-е изд., перераб. и доп. //М.: ИНФРА-М, 2009. - 736 с.</w:t>
      </w:r>
    </w:p>
    <w:p w:rsidR="007F244E" w:rsidRPr="00B644BF" w:rsidRDefault="005E1127" w:rsidP="005E1127">
      <w:pPr>
        <w:pStyle w:val="afa"/>
        <w:tabs>
          <w:tab w:val="left" w:pos="0"/>
          <w:tab w:val="left" w:pos="284"/>
          <w:tab w:val="left" w:pos="426"/>
          <w:tab w:val="left" w:pos="567"/>
        </w:tabs>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3. </w:t>
      </w:r>
      <w:r w:rsidR="007F244E" w:rsidRPr="00B644BF">
        <w:rPr>
          <w:rFonts w:ascii="Times New Roman" w:hAnsi="Times New Roman"/>
          <w:sz w:val="24"/>
          <w:szCs w:val="24"/>
        </w:rPr>
        <w:t>Ягунова, Н. А. Роль организационных структур управления в интенсификации процесса управления / Н. А. Ягунова. - Вестник Нижегородского университета им. Н.И. Лобачевского. - 2012. - № 5 (1). - С. 229-235.</w:t>
      </w:r>
    </w:p>
    <w:p w:rsidR="005E1127" w:rsidRDefault="005E1127" w:rsidP="00254D17">
      <w:pPr>
        <w:spacing w:after="0" w:line="240" w:lineRule="auto"/>
        <w:ind w:firstLine="709"/>
        <w:jc w:val="center"/>
        <w:rPr>
          <w:rFonts w:ascii="Times New Roman" w:hAnsi="Times New Roman" w:cs="Times New Roman"/>
          <w:b/>
          <w:sz w:val="28"/>
          <w:szCs w:val="28"/>
        </w:rPr>
      </w:pPr>
    </w:p>
    <w:p w:rsidR="00254D17" w:rsidRPr="00B644BF" w:rsidRDefault="00254D17" w:rsidP="005E1127">
      <w:pPr>
        <w:spacing w:after="0" w:line="240" w:lineRule="auto"/>
        <w:ind w:firstLine="709"/>
        <w:jc w:val="center"/>
        <w:rPr>
          <w:rFonts w:ascii="Times New Roman" w:hAnsi="Times New Roman" w:cs="Times New Roman"/>
          <w:b/>
          <w:sz w:val="28"/>
          <w:szCs w:val="28"/>
        </w:rPr>
      </w:pPr>
      <w:r w:rsidRPr="00B644BF">
        <w:rPr>
          <w:rFonts w:ascii="Times New Roman" w:hAnsi="Times New Roman" w:cs="Times New Roman"/>
          <w:b/>
          <w:sz w:val="28"/>
          <w:szCs w:val="28"/>
        </w:rPr>
        <w:t>К ВОПРОСУ ОБ ОФОРМЛЕНИИ НАСЛЕДСТВЕННЫХ ПРАВ</w:t>
      </w:r>
    </w:p>
    <w:p w:rsidR="00254D17" w:rsidRPr="00B644BF" w:rsidRDefault="00254D17" w:rsidP="005E1127">
      <w:pPr>
        <w:spacing w:after="0" w:line="240" w:lineRule="auto"/>
        <w:ind w:firstLine="709"/>
        <w:jc w:val="center"/>
        <w:rPr>
          <w:rFonts w:ascii="Times New Roman" w:hAnsi="Times New Roman" w:cs="Times New Roman"/>
          <w:b/>
          <w:sz w:val="28"/>
          <w:szCs w:val="28"/>
        </w:rPr>
      </w:pPr>
    </w:p>
    <w:p w:rsidR="00254D17" w:rsidRPr="00B644BF" w:rsidRDefault="00254D17" w:rsidP="005E1127">
      <w:pPr>
        <w:spacing w:after="0" w:line="240" w:lineRule="auto"/>
        <w:ind w:firstLine="709"/>
        <w:jc w:val="center"/>
        <w:rPr>
          <w:rFonts w:ascii="Times New Roman" w:hAnsi="Times New Roman" w:cs="Times New Roman"/>
          <w:b/>
          <w:sz w:val="28"/>
          <w:szCs w:val="28"/>
        </w:rPr>
      </w:pPr>
      <w:r w:rsidRPr="00B644BF">
        <w:rPr>
          <w:rFonts w:ascii="Times New Roman" w:hAnsi="Times New Roman" w:cs="Times New Roman"/>
          <w:b/>
          <w:sz w:val="28"/>
          <w:szCs w:val="28"/>
        </w:rPr>
        <w:t>Чернякова Вероника Андреевна</w:t>
      </w:r>
    </w:p>
    <w:p w:rsidR="00254D17" w:rsidRPr="00B644BF" w:rsidRDefault="00254D17" w:rsidP="005E1127">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преподаватель-стажер кафедры юриспруденции учреждения образования «Могилевский государственный университет</w:t>
      </w:r>
    </w:p>
    <w:p w:rsidR="00254D17" w:rsidRPr="00B644BF" w:rsidRDefault="00254D17" w:rsidP="005E1127">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имени А.А. Кулешова»</w:t>
      </w:r>
    </w:p>
    <w:p w:rsidR="00254D17" w:rsidRPr="00B644BF" w:rsidRDefault="00254D17" w:rsidP="005E1127">
      <w:pPr>
        <w:spacing w:after="0" w:line="240" w:lineRule="auto"/>
        <w:ind w:firstLine="709"/>
        <w:jc w:val="center"/>
        <w:rPr>
          <w:rFonts w:ascii="Times New Roman" w:hAnsi="Times New Roman" w:cs="Times New Roman"/>
          <w:sz w:val="28"/>
          <w:szCs w:val="28"/>
        </w:rPr>
      </w:pPr>
      <w:r w:rsidRPr="00B644BF">
        <w:rPr>
          <w:rFonts w:ascii="Times New Roman" w:hAnsi="Times New Roman" w:cs="Times New Roman"/>
          <w:sz w:val="28"/>
          <w:szCs w:val="28"/>
        </w:rPr>
        <w:t>(г. Могилев, Беларусь)</w:t>
      </w:r>
    </w:p>
    <w:p w:rsidR="00254D17" w:rsidRPr="005E1127" w:rsidRDefault="00F975FD" w:rsidP="005E1127">
      <w:pPr>
        <w:spacing w:after="0" w:line="240" w:lineRule="auto"/>
        <w:ind w:firstLine="709"/>
        <w:jc w:val="center"/>
        <w:rPr>
          <w:rFonts w:ascii="Times New Roman" w:hAnsi="Times New Roman" w:cs="Times New Roman"/>
          <w:sz w:val="28"/>
          <w:szCs w:val="28"/>
        </w:rPr>
      </w:pPr>
      <w:hyperlink r:id="rId36" w:history="1">
        <w:r w:rsidR="00254D17" w:rsidRPr="005E1127">
          <w:rPr>
            <w:rStyle w:val="a5"/>
            <w:rFonts w:ascii="Times New Roman" w:hAnsi="Times New Roman" w:cs="Times New Roman"/>
            <w:color w:val="auto"/>
            <w:sz w:val="28"/>
            <w:szCs w:val="28"/>
            <w:u w:val="none"/>
          </w:rPr>
          <w:t>veronikatcherniakova@yandex.by</w:t>
        </w:r>
      </w:hyperlink>
    </w:p>
    <w:p w:rsidR="00254D17" w:rsidRPr="00B644BF" w:rsidRDefault="00254D17" w:rsidP="005E1127">
      <w:pPr>
        <w:spacing w:after="0" w:line="240" w:lineRule="auto"/>
        <w:ind w:firstLine="709"/>
        <w:jc w:val="center"/>
        <w:rPr>
          <w:rFonts w:ascii="Times New Roman" w:hAnsi="Times New Roman" w:cs="Times New Roman"/>
          <w:sz w:val="28"/>
          <w:szCs w:val="28"/>
        </w:rPr>
      </w:pPr>
    </w:p>
    <w:p w:rsidR="00254D17" w:rsidRPr="00B644BF" w:rsidRDefault="00254D17" w:rsidP="005E1127">
      <w:pPr>
        <w:spacing w:after="0" w:line="240" w:lineRule="auto"/>
        <w:ind w:firstLine="709"/>
        <w:jc w:val="both"/>
        <w:rPr>
          <w:rFonts w:ascii="Times New Roman" w:hAnsi="Times New Roman" w:cs="Times New Roman"/>
          <w:sz w:val="24"/>
          <w:szCs w:val="24"/>
        </w:rPr>
      </w:pPr>
      <w:r w:rsidRPr="00B644BF">
        <w:rPr>
          <w:rFonts w:ascii="Times New Roman" w:hAnsi="Times New Roman" w:cs="Times New Roman"/>
          <w:b/>
          <w:sz w:val="24"/>
          <w:szCs w:val="24"/>
        </w:rPr>
        <w:t xml:space="preserve">Аннотация. </w:t>
      </w:r>
      <w:r w:rsidRPr="00B644BF">
        <w:rPr>
          <w:rFonts w:ascii="Times New Roman" w:hAnsi="Times New Roman" w:cs="Times New Roman"/>
          <w:sz w:val="24"/>
          <w:szCs w:val="24"/>
        </w:rPr>
        <w:t>В данной статье рассматривается возможность улучшения законодательства Республики Беларусь в области наследственного права посредством внедрения электронных платформ для подачи заявлений о принятии наследства. Такой подход соответствует современным тенденциям цифровизации правового пространства и может стать значительным шагом к упрощению процедур, повышению открытости и снижению административных барьеров. Работа подчеркивает важность соблюдения установленных законодательством процедур для защиты прав наследников и предотвращения споров.</w:t>
      </w:r>
    </w:p>
    <w:p w:rsidR="00254D17" w:rsidRPr="00B644BF" w:rsidRDefault="00254D17" w:rsidP="005E1127">
      <w:pPr>
        <w:spacing w:after="0" w:line="240" w:lineRule="auto"/>
        <w:ind w:firstLine="709"/>
        <w:jc w:val="both"/>
        <w:rPr>
          <w:rFonts w:ascii="Times New Roman" w:hAnsi="Times New Roman" w:cs="Times New Roman"/>
          <w:sz w:val="24"/>
          <w:szCs w:val="24"/>
        </w:rPr>
      </w:pPr>
      <w:r w:rsidRPr="00B644BF">
        <w:rPr>
          <w:rFonts w:ascii="Times New Roman" w:hAnsi="Times New Roman" w:cs="Times New Roman"/>
          <w:b/>
          <w:sz w:val="24"/>
          <w:szCs w:val="24"/>
        </w:rPr>
        <w:t xml:space="preserve">Ключевые слова. </w:t>
      </w:r>
      <w:r w:rsidRPr="00B644BF">
        <w:rPr>
          <w:rFonts w:ascii="Times New Roman" w:hAnsi="Times New Roman" w:cs="Times New Roman"/>
          <w:sz w:val="24"/>
          <w:szCs w:val="24"/>
        </w:rPr>
        <w:t>Наследственное право, наследственные правоотношения, наследование по закону, наследование по завещанию, право собственности, наследники, наследство.</w:t>
      </w:r>
    </w:p>
    <w:p w:rsidR="00254D17" w:rsidRPr="00B644BF" w:rsidRDefault="00254D17" w:rsidP="005E1127">
      <w:pPr>
        <w:spacing w:after="0" w:line="240" w:lineRule="auto"/>
        <w:ind w:firstLine="709"/>
        <w:jc w:val="both"/>
        <w:rPr>
          <w:rFonts w:ascii="Times New Roman" w:hAnsi="Times New Roman" w:cs="Times New Roman"/>
          <w:sz w:val="24"/>
          <w:szCs w:val="24"/>
        </w:rPr>
      </w:pPr>
    </w:p>
    <w:p w:rsidR="00254D17" w:rsidRPr="00B644BF" w:rsidRDefault="00254D17" w:rsidP="005E112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Процесс принятия наследства в Республике Беларусь, регулируемый законодательством, представляет собой четкую процедуру, обеспечивающую защиту прав наследников и кредиторов. Основные положения о наследовании установлены в Гражданском кодексе Республики Беларусь, который определяет, как обязательные условия для принятия наследства, так и права наследников, включая их возможности для отказа от наследства. </w:t>
      </w:r>
    </w:p>
    <w:p w:rsidR="00254D17" w:rsidRPr="00B644BF" w:rsidRDefault="00254D17" w:rsidP="005E112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Основаниями для наследования выступают закон и завещание, что предоставляет гражданам гибкость и возможность свободно распоряжаться своим имуществом, при этом закон определяет порядок наследования в отсутствие завещания или в случаях, когда завещание не охватывает все имущество. Кроме того, следует учитывать особенности наследования, связанные с опекой и попечительством, что способствует более справедливому распределению наследственной массы.</w:t>
      </w:r>
    </w:p>
    <w:p w:rsidR="00254D17" w:rsidRPr="00B644BF" w:rsidRDefault="00254D17" w:rsidP="005E112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Для принятия наследства наследнику необходимо подать заявление нотариусу по месту открытия наследства в течение шести месяцев со дня смерти наследодателя. Несоблюдение этого срока может повлечь утрату права на наследство, если только суд не восстановит пропущенный срок.</w:t>
      </w:r>
    </w:p>
    <w:p w:rsidR="00254D17" w:rsidRPr="00B644BF" w:rsidRDefault="00254D17" w:rsidP="005E112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Передача имущественных, а иногда и личных неимущественных прав, и обязанностей от скончавшегося человека к другим субъектам, будь </w:t>
      </w:r>
      <w:r w:rsidRPr="00B644BF">
        <w:rPr>
          <w:rFonts w:ascii="Times New Roman" w:hAnsi="Times New Roman" w:cs="Times New Roman"/>
          <w:sz w:val="28"/>
          <w:szCs w:val="28"/>
        </w:rPr>
        <w:lastRenderedPageBreak/>
        <w:t xml:space="preserve">то физические или юридические лица, в соответствии с установленным законом порядком, называется наследованием. </w:t>
      </w:r>
    </w:p>
    <w:p w:rsidR="00254D17" w:rsidRPr="00B644BF" w:rsidRDefault="00254D17" w:rsidP="005E112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Приоритетным видом наследования является наследование по завещанию, так как оно позволяет избежать разногласий между родственниками умершего относительно распределения его активов. Завещание четко отражает волю покойного. Наследственное право рассматривается в объективном и субъективном смысле. Право на наследование дает гражданину возможность принять наследство в соответствии с законодательством и в дальнейшем распоряжаться им по своему усмотрению.</w:t>
      </w:r>
    </w:p>
    <w:p w:rsidR="00254D17" w:rsidRPr="00B644BF" w:rsidRDefault="00254D17" w:rsidP="005E112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Правовое регулирование отношений по наследованию имущества выполняет системную и межотраслевую функцию. Оно заключается в установлении права наследования имущества через нормы конституционного и гражданского права, определении прав граждан на свободное распоряжение своим имуществом в случае смерти, а также предусмотрении процедур защиты наследственных прав граждан от посягательств других лиц.</w:t>
      </w:r>
    </w:p>
    <w:p w:rsidR="00254D17" w:rsidRPr="00B644BF" w:rsidRDefault="00254D17" w:rsidP="005E112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По мнению Смолиной, в субъективном смысле наследственное право (право наследования) представляет собой абсолютное право лица быть наследником. Оно включает в себя права быть призванным к наследованию, принять или не принять наследство, отказаться от него и требовать от других лиц не препятствовать в осуществлении этих действий [1, с.178].</w:t>
      </w:r>
    </w:p>
    <w:p w:rsidR="00254D17" w:rsidRPr="00B644BF" w:rsidRDefault="00254D17" w:rsidP="005E112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Законодательство регулирует процесс передачи собственности умершего к другим лицам, а также устанавливает условия этой передачи. Таким образом, закон определяет, кто и как может получить наследство, обеспечивая правовую основу для этой процедуры.</w:t>
      </w:r>
    </w:p>
    <w:p w:rsidR="00254D17" w:rsidRPr="00B644BF" w:rsidRDefault="00254D17" w:rsidP="005E112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Процедура наследования в Республике Беларусь проходит на основании содержания завещания и государственных правовых актов. Причем по закону процедура происходит при условии отсутствия завещания. Под наследованием понимается переход прав и обязанностей умершего гражданина (наследодателя) к другим гражданам (наследникам) в порядке, установленном нормами наследственного права. Такой переход осуществляется в порядке универсального правопреемства. </w:t>
      </w:r>
    </w:p>
    <w:p w:rsidR="00254D17" w:rsidRPr="00B644BF" w:rsidRDefault="00254D17" w:rsidP="005E112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Принципы наследственного права в полной мере отражают специфику регулирования наследственных отношений, находясь, вместе с тем, в тесной взаимосвязи с общими началами гражданского права. Следует отметить, что иногда завещание может распространяться не на все имущество покойного, в таких случаях им за рамками завещания распределяется на основании законодательства. Существенным отличием от наследования по закону можно назвать то, что при наследовании на основании завещания происходит распределение долей наследства сугубо </w:t>
      </w:r>
      <w:r w:rsidRPr="00B644BF">
        <w:rPr>
          <w:rFonts w:ascii="Times New Roman" w:hAnsi="Times New Roman" w:cs="Times New Roman"/>
          <w:sz w:val="28"/>
          <w:szCs w:val="28"/>
        </w:rPr>
        <w:lastRenderedPageBreak/>
        <w:t>по усмотрению составителя завещания, то есть все зависит именно от волеизъявления наследодателя.</w:t>
      </w:r>
    </w:p>
    <w:p w:rsidR="00254D17" w:rsidRPr="00B644BF" w:rsidRDefault="00254D17" w:rsidP="005E112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В современном обществе значительный прогресс технологий информационных технологий оказывает влияние на все сферы жизни человека, включая правовую сферу. В условиях цифровой трансформации государственные институты стремятся к повышению эффективности, прозрачности и доступности своих услуг. Особенно актуальным является вопрос реформирования наследственного права, поскольку именно эта сфера связана с важнейшими аспектами имущественных отношений граждан.</w:t>
      </w:r>
    </w:p>
    <w:p w:rsidR="00254D17" w:rsidRPr="00B644BF" w:rsidRDefault="00254D17" w:rsidP="005E112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На сегодняшний день существующие процедуры подачи заявлений о принятии наследства зачастую связаны с необходимостью личного обращения к нотариусам или в суд, что создает дополнительные сложности для наследников.</w:t>
      </w:r>
    </w:p>
    <w:p w:rsidR="00254D17" w:rsidRPr="00B644BF" w:rsidRDefault="00254D17" w:rsidP="005E112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Создание электронных платформ для подачи заявлений о наследстве может значительно повысить эффективность правовой системы, сделать ее более прозрачной и доступной. Это соответствует глобальным тенденциям цифровизации государственных услуг, реализуемых в рамках концепции «электронного правительства». В результате такие меры способствуют снижению коррупционных рисков, сокращению времени рассмотрения дел и повышению доверия граждан к правовой системе.</w:t>
      </w:r>
    </w:p>
    <w:p w:rsidR="00254D17" w:rsidRPr="00B644BF" w:rsidRDefault="00254D17" w:rsidP="005E112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Основная идея заключается в разработке специализированных электронных платформ, на которых наследники смогут подавать все необходимые документы, заполнять формы и получать информацию о статусе рассмотрения их заявлений. Такие платформы должны включать в себя следующие компоненты:</w:t>
      </w:r>
    </w:p>
    <w:p w:rsidR="00254D17" w:rsidRPr="00B644BF" w:rsidRDefault="00254D17" w:rsidP="005E1127">
      <w:pPr>
        <w:pStyle w:val="a7"/>
        <w:numPr>
          <w:ilvl w:val="0"/>
          <w:numId w:val="31"/>
        </w:numPr>
        <w:spacing w:after="0" w:line="240" w:lineRule="auto"/>
        <w:ind w:left="0" w:firstLine="709"/>
        <w:jc w:val="both"/>
        <w:rPr>
          <w:rFonts w:ascii="Times New Roman" w:hAnsi="Times New Roman" w:cs="Times New Roman"/>
          <w:sz w:val="28"/>
          <w:szCs w:val="28"/>
        </w:rPr>
      </w:pPr>
      <w:r w:rsidRPr="00B644BF">
        <w:rPr>
          <w:rFonts w:ascii="Times New Roman" w:hAnsi="Times New Roman" w:cs="Times New Roman"/>
          <w:sz w:val="28"/>
          <w:szCs w:val="28"/>
        </w:rPr>
        <w:t>Информационный раздел: инструкции по процедуре принятия наследства, перечень необходимых документов, ответы на часто задаваемые вопросы;</w:t>
      </w:r>
    </w:p>
    <w:p w:rsidR="00254D17" w:rsidRPr="00B644BF" w:rsidRDefault="00254D17" w:rsidP="005E1127">
      <w:pPr>
        <w:pStyle w:val="a7"/>
        <w:numPr>
          <w:ilvl w:val="0"/>
          <w:numId w:val="31"/>
        </w:numPr>
        <w:spacing w:after="0" w:line="240" w:lineRule="auto"/>
        <w:ind w:left="0" w:firstLine="709"/>
        <w:jc w:val="both"/>
        <w:rPr>
          <w:rFonts w:ascii="Times New Roman" w:hAnsi="Times New Roman" w:cs="Times New Roman"/>
          <w:sz w:val="28"/>
          <w:szCs w:val="28"/>
        </w:rPr>
      </w:pPr>
      <w:r w:rsidRPr="00B644BF">
        <w:rPr>
          <w:rFonts w:ascii="Times New Roman" w:hAnsi="Times New Roman" w:cs="Times New Roman"/>
          <w:sz w:val="28"/>
          <w:szCs w:val="28"/>
        </w:rPr>
        <w:t>Формы заявлений: электронные версии заявлений о принятии наследства, заполнение которых осуществляется онлайн;</w:t>
      </w:r>
    </w:p>
    <w:p w:rsidR="00254D17" w:rsidRPr="00B644BF" w:rsidRDefault="00254D17" w:rsidP="005E1127">
      <w:pPr>
        <w:pStyle w:val="a7"/>
        <w:numPr>
          <w:ilvl w:val="0"/>
          <w:numId w:val="31"/>
        </w:numPr>
        <w:spacing w:after="0" w:line="240" w:lineRule="auto"/>
        <w:ind w:left="0" w:firstLine="709"/>
        <w:jc w:val="both"/>
        <w:rPr>
          <w:rFonts w:ascii="Times New Roman" w:hAnsi="Times New Roman" w:cs="Times New Roman"/>
          <w:sz w:val="28"/>
          <w:szCs w:val="28"/>
        </w:rPr>
      </w:pPr>
      <w:r w:rsidRPr="00B644BF">
        <w:rPr>
          <w:rFonts w:ascii="Times New Roman" w:hAnsi="Times New Roman" w:cs="Times New Roman"/>
          <w:sz w:val="28"/>
          <w:szCs w:val="28"/>
        </w:rPr>
        <w:t>Обработка заявлений: автоматизированные системы, обеспечивающие проверку подачи документов и их соответствия требованиям законодательства;</w:t>
      </w:r>
    </w:p>
    <w:p w:rsidR="00254D17" w:rsidRPr="00B644BF" w:rsidRDefault="00254D17" w:rsidP="005E1127">
      <w:pPr>
        <w:pStyle w:val="a7"/>
        <w:numPr>
          <w:ilvl w:val="0"/>
          <w:numId w:val="31"/>
        </w:numPr>
        <w:spacing w:after="0" w:line="240" w:lineRule="auto"/>
        <w:ind w:left="0" w:firstLine="709"/>
        <w:jc w:val="both"/>
        <w:rPr>
          <w:rFonts w:ascii="Times New Roman" w:hAnsi="Times New Roman" w:cs="Times New Roman"/>
          <w:sz w:val="28"/>
          <w:szCs w:val="28"/>
        </w:rPr>
      </w:pPr>
      <w:r w:rsidRPr="00B644BF">
        <w:rPr>
          <w:rFonts w:ascii="Times New Roman" w:hAnsi="Times New Roman" w:cs="Times New Roman"/>
          <w:sz w:val="28"/>
          <w:szCs w:val="28"/>
        </w:rPr>
        <w:t>Статус-отслеживатель: возможность наследников отслеживать статус своего заявления в реальном времени;</w:t>
      </w:r>
    </w:p>
    <w:p w:rsidR="00254D17" w:rsidRPr="00B644BF" w:rsidRDefault="00254D17" w:rsidP="005E1127">
      <w:pPr>
        <w:pStyle w:val="a7"/>
        <w:numPr>
          <w:ilvl w:val="0"/>
          <w:numId w:val="31"/>
        </w:numPr>
        <w:spacing w:after="0" w:line="240" w:lineRule="auto"/>
        <w:ind w:left="0" w:firstLine="709"/>
        <w:jc w:val="both"/>
        <w:rPr>
          <w:rFonts w:ascii="Times New Roman" w:hAnsi="Times New Roman" w:cs="Times New Roman"/>
          <w:sz w:val="28"/>
          <w:szCs w:val="28"/>
        </w:rPr>
      </w:pPr>
      <w:r w:rsidRPr="00B644BF">
        <w:rPr>
          <w:rFonts w:ascii="Times New Roman" w:hAnsi="Times New Roman" w:cs="Times New Roman"/>
          <w:sz w:val="28"/>
          <w:szCs w:val="28"/>
        </w:rPr>
        <w:t>Интеграция с государственными реестрами: автоматический обмен информацией с нотариальными и судебными базами данных для ускорения процедур.</w:t>
      </w:r>
    </w:p>
    <w:p w:rsidR="00254D17" w:rsidRPr="00B644BF" w:rsidRDefault="00254D17" w:rsidP="005E112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Создание таких платформ позволит исключить необходимость личного обращения в нотариальные конторы или суды и повысить оперативность рассмотрения наследственных дел.</w:t>
      </w:r>
    </w:p>
    <w:p w:rsidR="00254D17" w:rsidRPr="00B644BF" w:rsidRDefault="00254D17" w:rsidP="005E112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lastRenderedPageBreak/>
        <w:t>Внедрение электронных платформ для подачи заявлений о наследстве обладает рядом существенных преимуществ:</w:t>
      </w:r>
    </w:p>
    <w:p w:rsidR="00254D17" w:rsidRPr="00B644BF" w:rsidRDefault="00254D17" w:rsidP="005E1127">
      <w:pPr>
        <w:pStyle w:val="a7"/>
        <w:numPr>
          <w:ilvl w:val="0"/>
          <w:numId w:val="33"/>
        </w:numPr>
        <w:spacing w:after="0" w:line="240" w:lineRule="auto"/>
        <w:ind w:left="0" w:firstLine="709"/>
        <w:jc w:val="both"/>
        <w:rPr>
          <w:rFonts w:ascii="Times New Roman" w:hAnsi="Times New Roman" w:cs="Times New Roman"/>
          <w:sz w:val="28"/>
          <w:szCs w:val="28"/>
        </w:rPr>
      </w:pPr>
      <w:r w:rsidRPr="00B644BF">
        <w:rPr>
          <w:rFonts w:ascii="Times New Roman" w:hAnsi="Times New Roman" w:cs="Times New Roman"/>
          <w:sz w:val="28"/>
          <w:szCs w:val="28"/>
        </w:rPr>
        <w:t>Повышение доступности, то есть граждане смогут подавать заявления независимо от места нахождения, что особенно важно для жителей отдаленных районов;</w:t>
      </w:r>
    </w:p>
    <w:p w:rsidR="00254D17" w:rsidRPr="00B644BF" w:rsidRDefault="00254D17" w:rsidP="005E1127">
      <w:pPr>
        <w:pStyle w:val="a7"/>
        <w:numPr>
          <w:ilvl w:val="0"/>
          <w:numId w:val="33"/>
        </w:numPr>
        <w:spacing w:after="0" w:line="240" w:lineRule="auto"/>
        <w:ind w:left="0" w:firstLine="709"/>
        <w:jc w:val="both"/>
        <w:rPr>
          <w:rFonts w:ascii="Times New Roman" w:hAnsi="Times New Roman" w:cs="Times New Roman"/>
          <w:sz w:val="28"/>
          <w:szCs w:val="28"/>
        </w:rPr>
      </w:pPr>
      <w:r w:rsidRPr="00B644BF">
        <w:rPr>
          <w:rFonts w:ascii="Times New Roman" w:hAnsi="Times New Roman" w:cs="Times New Roman"/>
          <w:sz w:val="28"/>
          <w:szCs w:val="28"/>
        </w:rPr>
        <w:t>Ускорение процедур, потому что автоматизация процессов сокращает время рассмотрения дел и исключает человеческий фактор;</w:t>
      </w:r>
    </w:p>
    <w:p w:rsidR="00254D17" w:rsidRPr="00B644BF" w:rsidRDefault="00254D17" w:rsidP="005E1127">
      <w:pPr>
        <w:pStyle w:val="a7"/>
        <w:numPr>
          <w:ilvl w:val="0"/>
          <w:numId w:val="33"/>
        </w:numPr>
        <w:spacing w:after="0" w:line="240" w:lineRule="auto"/>
        <w:ind w:left="0" w:firstLine="709"/>
        <w:jc w:val="both"/>
        <w:rPr>
          <w:rFonts w:ascii="Times New Roman" w:hAnsi="Times New Roman" w:cs="Times New Roman"/>
          <w:sz w:val="28"/>
          <w:szCs w:val="28"/>
        </w:rPr>
      </w:pPr>
      <w:r w:rsidRPr="00B644BF">
        <w:rPr>
          <w:rFonts w:ascii="Times New Roman" w:hAnsi="Times New Roman" w:cs="Times New Roman"/>
          <w:sz w:val="28"/>
          <w:szCs w:val="28"/>
        </w:rPr>
        <w:t>Прозрачность и открытость будет выражаться в возможности отслеживать статус заявления повышает доверие к системе;</w:t>
      </w:r>
    </w:p>
    <w:p w:rsidR="00254D17" w:rsidRPr="00B644BF" w:rsidRDefault="00254D17" w:rsidP="005E1127">
      <w:pPr>
        <w:pStyle w:val="a7"/>
        <w:numPr>
          <w:ilvl w:val="0"/>
          <w:numId w:val="33"/>
        </w:numPr>
        <w:spacing w:after="0" w:line="240" w:lineRule="auto"/>
        <w:ind w:left="0" w:firstLine="709"/>
        <w:jc w:val="both"/>
        <w:rPr>
          <w:rFonts w:ascii="Times New Roman" w:hAnsi="Times New Roman" w:cs="Times New Roman"/>
          <w:sz w:val="28"/>
          <w:szCs w:val="28"/>
        </w:rPr>
      </w:pPr>
      <w:r w:rsidRPr="00B644BF">
        <w:rPr>
          <w:rFonts w:ascii="Times New Roman" w:hAnsi="Times New Roman" w:cs="Times New Roman"/>
          <w:sz w:val="28"/>
          <w:szCs w:val="28"/>
        </w:rPr>
        <w:t>Снижение затрат как для государства, так и для граждан, за счет уменьшения бумажной волокиты и необходимости личных посещений.</w:t>
      </w:r>
    </w:p>
    <w:p w:rsidR="00254D17" w:rsidRPr="00B644BF" w:rsidRDefault="00254D17" w:rsidP="005E112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Также важно создать правовые условия для признания электронных подписей и электронных документов равнозначными их бумажным аналогам.</w:t>
      </w:r>
    </w:p>
    <w:p w:rsidR="00254D17" w:rsidRPr="00B644BF" w:rsidRDefault="00254D17" w:rsidP="005E112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Многие страны уже внедрили электронные системы для наследственных процедур. Например, в Евросоюзе активно развиваются электронные реестры наследственных дел, которые позволяют гражданам и специалистам получать необходимую информацию в онлайн-режиме. В некоторых странах, таких как Нидерланды и Швеция, полностью автоматизированы процессы подачи заявлений и оформления наследства, что значительно повышает эффективность и прозрачность системы.</w:t>
      </w:r>
    </w:p>
    <w:p w:rsidR="00254D17" w:rsidRPr="00B644BF" w:rsidRDefault="00254D17" w:rsidP="005E112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Реализация подобных решений в Республике Беларусь требует адаптации международных стандартов к национальному законодательству, а также учета особенностей правовой культуры и технической инфраструктуры страны.</w:t>
      </w:r>
    </w:p>
    <w:p w:rsidR="00254D17" w:rsidRPr="00B644BF" w:rsidRDefault="00254D17" w:rsidP="005E112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Наследник имеет право отказаться от принятия наследства. Отказ должен быть оформлен в письменной форме и подан нотариусу. Важно помнить, что отказ от наследства является безвозвратным.</w:t>
      </w:r>
    </w:p>
    <w:p w:rsidR="00254D17" w:rsidRPr="00B644BF" w:rsidRDefault="00254D17" w:rsidP="005E112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Если наследник не принял наследство в установленный срок, он теряет право на него. Однако в некоторых случаях возможно восстановление прав на наследство через суд, если будут предоставлены убедительные доказательства уважительных причин пропуска срока.</w:t>
      </w:r>
    </w:p>
    <w:p w:rsidR="00254D17" w:rsidRPr="00B644BF" w:rsidRDefault="00254D17" w:rsidP="005E112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Принятие и отказ от наследства – это важные юридические действия, которые требуют внимательного подхода. </w:t>
      </w:r>
    </w:p>
    <w:p w:rsidR="00254D17" w:rsidRPr="00B644BF" w:rsidRDefault="00254D17" w:rsidP="005E112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В перспективе создание цифрового портала наследственного права станет основой для формирования интегрированной системы электронных услуг, что позволит значительно повысить эффективность правовой системы и удовлетворенность граждан.</w:t>
      </w:r>
    </w:p>
    <w:p w:rsidR="00254D17" w:rsidRPr="00B644BF" w:rsidRDefault="00254D17" w:rsidP="005E1127">
      <w:pPr>
        <w:spacing w:after="0" w:line="240" w:lineRule="auto"/>
        <w:ind w:firstLine="709"/>
        <w:jc w:val="both"/>
        <w:rPr>
          <w:rFonts w:ascii="Times New Roman" w:hAnsi="Times New Roman" w:cs="Times New Roman"/>
          <w:sz w:val="28"/>
          <w:szCs w:val="28"/>
        </w:rPr>
      </w:pPr>
      <w:r w:rsidRPr="00B644BF">
        <w:rPr>
          <w:rFonts w:ascii="Times New Roman" w:hAnsi="Times New Roman" w:cs="Times New Roman"/>
          <w:sz w:val="28"/>
          <w:szCs w:val="28"/>
        </w:rPr>
        <w:t xml:space="preserve">Внедрение электронных платформ для подачи заявлений о принятии наследства является важным направлением модернизации законодательства Республики Беларусь в области наследственного права. Такой шаг не только повысит эффективность и прозрачность процессов, но </w:t>
      </w:r>
      <w:r w:rsidRPr="00B644BF">
        <w:rPr>
          <w:rFonts w:ascii="Times New Roman" w:hAnsi="Times New Roman" w:cs="Times New Roman"/>
          <w:sz w:val="28"/>
          <w:szCs w:val="28"/>
        </w:rPr>
        <w:lastRenderedPageBreak/>
        <w:t>и обеспечит более высокий уровень доверия граждан к государственным институтам. В условиях цифровой эпохи развитие электронных систем является необходимым условием для укрепления правового государства и обеспечения современных стандартов юридической практики.</w:t>
      </w:r>
    </w:p>
    <w:p w:rsidR="00254D17" w:rsidRPr="00B644BF" w:rsidRDefault="00254D17" w:rsidP="005E1127">
      <w:pPr>
        <w:spacing w:after="0" w:line="240" w:lineRule="auto"/>
        <w:ind w:firstLine="709"/>
        <w:jc w:val="both"/>
        <w:rPr>
          <w:rFonts w:ascii="Times New Roman" w:hAnsi="Times New Roman" w:cs="Times New Roman"/>
          <w:sz w:val="28"/>
          <w:szCs w:val="28"/>
        </w:rPr>
      </w:pPr>
    </w:p>
    <w:p w:rsidR="00254D17" w:rsidRPr="005E1127" w:rsidRDefault="00254D17" w:rsidP="005E1127">
      <w:pPr>
        <w:spacing w:after="0" w:line="240" w:lineRule="auto"/>
        <w:ind w:firstLine="709"/>
        <w:jc w:val="center"/>
        <w:rPr>
          <w:rFonts w:ascii="Times New Roman" w:hAnsi="Times New Roman" w:cs="Times New Roman"/>
          <w:b/>
          <w:sz w:val="28"/>
          <w:szCs w:val="28"/>
        </w:rPr>
      </w:pPr>
      <w:r w:rsidRPr="005E1127">
        <w:rPr>
          <w:rFonts w:ascii="Times New Roman" w:hAnsi="Times New Roman" w:cs="Times New Roman"/>
          <w:b/>
          <w:sz w:val="28"/>
          <w:szCs w:val="28"/>
        </w:rPr>
        <w:t>Список литературы</w:t>
      </w:r>
    </w:p>
    <w:p w:rsidR="00254D17" w:rsidRPr="00B644BF" w:rsidRDefault="00254D17" w:rsidP="005E1127">
      <w:pPr>
        <w:pStyle w:val="a7"/>
        <w:numPr>
          <w:ilvl w:val="0"/>
          <w:numId w:val="32"/>
        </w:numPr>
        <w:spacing w:after="0" w:line="240" w:lineRule="auto"/>
        <w:ind w:left="0" w:firstLine="709"/>
        <w:jc w:val="both"/>
        <w:rPr>
          <w:rFonts w:ascii="Times New Roman" w:hAnsi="Times New Roman" w:cs="Times New Roman"/>
          <w:sz w:val="24"/>
          <w:szCs w:val="24"/>
        </w:rPr>
      </w:pPr>
      <w:r w:rsidRPr="00B644BF">
        <w:rPr>
          <w:rFonts w:ascii="Times New Roman" w:hAnsi="Times New Roman" w:cs="Times New Roman"/>
          <w:sz w:val="24"/>
          <w:szCs w:val="24"/>
        </w:rPr>
        <w:t>Смолина, Л. В. Наследственное право : курс лекций / Л. В. Смолина. – СПб. : Юрист, 2005. – 296 с.</w:t>
      </w:r>
    </w:p>
    <w:p w:rsidR="00507CF9" w:rsidRPr="00B644BF" w:rsidRDefault="00507CF9" w:rsidP="005E1127">
      <w:pPr>
        <w:spacing w:after="0" w:line="240" w:lineRule="auto"/>
        <w:ind w:firstLine="709"/>
        <w:jc w:val="both"/>
        <w:rPr>
          <w:rFonts w:ascii="Times New Roman" w:hAnsi="Times New Roman" w:cs="Times New Roman"/>
        </w:rPr>
      </w:pPr>
    </w:p>
    <w:p w:rsidR="00507CF9" w:rsidRPr="00B644BF" w:rsidRDefault="00507CF9" w:rsidP="00507CF9">
      <w:pPr>
        <w:shd w:val="clear" w:color="auto" w:fill="FFFFFF"/>
        <w:spacing w:after="0" w:line="240" w:lineRule="auto"/>
        <w:ind w:firstLine="709"/>
        <w:jc w:val="both"/>
        <w:rPr>
          <w:rFonts w:ascii="Times New Roman" w:hAnsi="Times New Roman" w:cs="Times New Roman"/>
          <w:sz w:val="24"/>
          <w:szCs w:val="24"/>
        </w:rPr>
      </w:pPr>
    </w:p>
    <w:p w:rsidR="00507CF9" w:rsidRPr="00B644BF" w:rsidRDefault="00507CF9" w:rsidP="00507CF9">
      <w:pPr>
        <w:widowControl w:val="0"/>
        <w:tabs>
          <w:tab w:val="left" w:pos="567"/>
          <w:tab w:val="left" w:pos="1134"/>
        </w:tabs>
        <w:spacing w:after="0" w:line="240" w:lineRule="auto"/>
        <w:ind w:left="709"/>
        <w:jc w:val="both"/>
        <w:rPr>
          <w:rFonts w:ascii="Times New Roman" w:hAnsi="Times New Roman" w:cs="Times New Roman"/>
          <w:sz w:val="24"/>
          <w:szCs w:val="24"/>
        </w:rPr>
      </w:pPr>
    </w:p>
    <w:p w:rsidR="00507CF9" w:rsidRPr="00B644BF" w:rsidRDefault="00507CF9" w:rsidP="00507CF9">
      <w:pPr>
        <w:ind w:firstLine="709"/>
        <w:rPr>
          <w:rFonts w:ascii="Times New Roman" w:hAnsi="Times New Roman" w:cs="Times New Roman"/>
        </w:rPr>
      </w:pPr>
    </w:p>
    <w:p w:rsidR="00507CF9" w:rsidRPr="00B644BF" w:rsidRDefault="00507CF9" w:rsidP="00507CF9">
      <w:pPr>
        <w:rPr>
          <w:rFonts w:ascii="Times New Roman" w:hAnsi="Times New Roman" w:cs="Times New Roman"/>
        </w:rPr>
      </w:pPr>
    </w:p>
    <w:p w:rsidR="00EE648F" w:rsidRPr="00B644BF" w:rsidRDefault="00EE648F" w:rsidP="00EE648F">
      <w:pPr>
        <w:widowControl w:val="0"/>
        <w:tabs>
          <w:tab w:val="left" w:pos="7200"/>
        </w:tabs>
        <w:spacing w:after="200" w:line="276" w:lineRule="auto"/>
        <w:ind w:left="360"/>
        <w:jc w:val="both"/>
        <w:rPr>
          <w:rFonts w:ascii="Times New Roman" w:hAnsi="Times New Roman" w:cs="Times New Roman"/>
          <w:b/>
          <w:sz w:val="24"/>
          <w:szCs w:val="24"/>
        </w:rPr>
      </w:pPr>
    </w:p>
    <w:p w:rsidR="003E77D8" w:rsidRPr="00B644BF" w:rsidRDefault="003E77D8" w:rsidP="003E77D8">
      <w:pPr>
        <w:pStyle w:val="1"/>
        <w:shd w:val="clear" w:color="auto" w:fill="FFFFFF"/>
        <w:spacing w:before="0" w:line="240" w:lineRule="auto"/>
        <w:jc w:val="both"/>
        <w:rPr>
          <w:rFonts w:ascii="Times New Roman" w:eastAsia="Microsoft YaHei" w:hAnsi="Times New Roman" w:cs="Times New Roman"/>
          <w:color w:val="auto"/>
          <w:sz w:val="24"/>
          <w:szCs w:val="24"/>
        </w:rPr>
      </w:pPr>
    </w:p>
    <w:p w:rsidR="003E77D8" w:rsidRPr="00B644BF" w:rsidRDefault="003E77D8" w:rsidP="003E77D8">
      <w:pPr>
        <w:shd w:val="clear" w:color="auto" w:fill="FFFFFF"/>
        <w:spacing w:after="0" w:line="240" w:lineRule="auto"/>
        <w:jc w:val="both"/>
        <w:rPr>
          <w:rFonts w:ascii="Times New Roman" w:hAnsi="Times New Roman" w:cs="Times New Roman"/>
          <w:sz w:val="24"/>
          <w:szCs w:val="24"/>
        </w:rPr>
      </w:pPr>
    </w:p>
    <w:p w:rsidR="003E77D8" w:rsidRPr="00B644BF" w:rsidRDefault="003E77D8" w:rsidP="003E77D8">
      <w:pPr>
        <w:spacing w:after="0" w:line="240" w:lineRule="auto"/>
        <w:ind w:firstLine="708"/>
        <w:jc w:val="center"/>
        <w:rPr>
          <w:rFonts w:ascii="Times New Roman" w:hAnsi="Times New Roman" w:cs="Times New Roman"/>
          <w:b/>
          <w:sz w:val="24"/>
          <w:szCs w:val="24"/>
        </w:rPr>
      </w:pPr>
    </w:p>
    <w:p w:rsidR="003E77D8" w:rsidRPr="00B644BF" w:rsidRDefault="003E77D8" w:rsidP="003E77D8">
      <w:pPr>
        <w:spacing w:after="0" w:line="240" w:lineRule="auto"/>
        <w:ind w:firstLine="709"/>
        <w:jc w:val="both"/>
        <w:rPr>
          <w:rFonts w:ascii="Times New Roman" w:hAnsi="Times New Roman" w:cs="Times New Roman"/>
          <w:sz w:val="24"/>
          <w:szCs w:val="24"/>
        </w:rPr>
      </w:pPr>
    </w:p>
    <w:p w:rsidR="003E77D8" w:rsidRPr="00B644BF" w:rsidRDefault="003E77D8" w:rsidP="003E77D8">
      <w:pPr>
        <w:spacing w:after="0" w:line="240" w:lineRule="auto"/>
        <w:ind w:firstLine="709"/>
        <w:jc w:val="both"/>
        <w:rPr>
          <w:rFonts w:ascii="Times New Roman" w:hAnsi="Times New Roman" w:cs="Times New Roman"/>
          <w:sz w:val="28"/>
          <w:szCs w:val="28"/>
        </w:rPr>
      </w:pPr>
    </w:p>
    <w:p w:rsidR="003E77D8" w:rsidRPr="00B644BF" w:rsidRDefault="003E77D8" w:rsidP="003E77D8">
      <w:pPr>
        <w:shd w:val="clear" w:color="auto" w:fill="FFFFFF"/>
        <w:spacing w:after="0" w:line="240" w:lineRule="auto"/>
        <w:ind w:firstLine="709"/>
        <w:jc w:val="both"/>
        <w:rPr>
          <w:rFonts w:ascii="Times New Roman" w:eastAsia="Times New Roman" w:hAnsi="Times New Roman" w:cs="Times New Roman"/>
          <w:b/>
          <w:bCs/>
          <w:sz w:val="28"/>
          <w:szCs w:val="28"/>
        </w:rPr>
      </w:pPr>
    </w:p>
    <w:p w:rsidR="003E77D8" w:rsidRPr="00B644BF" w:rsidRDefault="003E77D8" w:rsidP="003E77D8">
      <w:pPr>
        <w:shd w:val="clear" w:color="auto" w:fill="FFFFFF"/>
        <w:spacing w:after="0" w:line="240" w:lineRule="auto"/>
        <w:ind w:firstLine="709"/>
        <w:jc w:val="both"/>
        <w:rPr>
          <w:rFonts w:ascii="Times New Roman" w:eastAsia="Times New Roman" w:hAnsi="Times New Roman" w:cs="Times New Roman"/>
          <w:b/>
          <w:bCs/>
          <w:sz w:val="28"/>
          <w:szCs w:val="28"/>
        </w:rPr>
      </w:pPr>
    </w:p>
    <w:p w:rsidR="003E77D8" w:rsidRPr="00B644BF" w:rsidRDefault="003E77D8" w:rsidP="003E77D8">
      <w:pPr>
        <w:spacing w:after="0" w:line="240" w:lineRule="auto"/>
        <w:ind w:firstLine="709"/>
        <w:jc w:val="both"/>
        <w:rPr>
          <w:rFonts w:ascii="Times New Roman" w:hAnsi="Times New Roman" w:cs="Times New Roman"/>
          <w:sz w:val="28"/>
          <w:szCs w:val="28"/>
        </w:rPr>
      </w:pPr>
      <w:bookmarkStart w:id="28" w:name="_GoBack"/>
      <w:bookmarkEnd w:id="28"/>
    </w:p>
    <w:p w:rsidR="003E77D8" w:rsidRPr="00B644BF" w:rsidRDefault="003E77D8" w:rsidP="003E77D8">
      <w:pPr>
        <w:spacing w:after="0" w:line="240" w:lineRule="auto"/>
        <w:ind w:firstLine="709"/>
        <w:jc w:val="both"/>
        <w:rPr>
          <w:rFonts w:ascii="Times New Roman" w:hAnsi="Times New Roman" w:cs="Times New Roman"/>
          <w:sz w:val="28"/>
          <w:szCs w:val="28"/>
        </w:rPr>
      </w:pPr>
    </w:p>
    <w:p w:rsidR="001E7DEA" w:rsidRPr="00B644BF" w:rsidRDefault="001E7DEA">
      <w:pPr>
        <w:rPr>
          <w:rFonts w:ascii="Times New Roman" w:hAnsi="Times New Roman" w:cs="Times New Roman"/>
          <w:b/>
          <w:sz w:val="32"/>
          <w:szCs w:val="32"/>
        </w:rPr>
      </w:pPr>
    </w:p>
    <w:sectPr w:rsidR="001E7DEA" w:rsidRPr="00B644BF" w:rsidSect="00D60961">
      <w:pgSz w:w="11906" w:h="16838"/>
      <w:pgMar w:top="1418" w:right="1418" w:bottom="1418" w:left="1418" w:header="709" w:footer="709"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820" w:rsidRDefault="00FF6820" w:rsidP="007F244E">
      <w:pPr>
        <w:spacing w:after="0" w:line="240" w:lineRule="auto"/>
      </w:pPr>
      <w:r>
        <w:separator/>
      </w:r>
    </w:p>
  </w:endnote>
  <w:endnote w:type="continuationSeparator" w:id="0">
    <w:p w:rsidR="00FF6820" w:rsidRDefault="00FF6820" w:rsidP="007F24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820" w:rsidRDefault="00FF6820" w:rsidP="007F244E">
      <w:pPr>
        <w:spacing w:after="0" w:line="240" w:lineRule="auto"/>
      </w:pPr>
      <w:r>
        <w:separator/>
      </w:r>
    </w:p>
  </w:footnote>
  <w:footnote w:type="continuationSeparator" w:id="0">
    <w:p w:rsidR="00FF6820" w:rsidRDefault="00FF6820" w:rsidP="007F24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FE09FFE"/>
    <w:multiLevelType w:val="singleLevel"/>
    <w:tmpl w:val="EFE09FFE"/>
    <w:lvl w:ilvl="0">
      <w:start w:val="1"/>
      <w:numFmt w:val="decimal"/>
      <w:suff w:val="space"/>
      <w:lvlText w:val="%1."/>
      <w:lvlJc w:val="left"/>
    </w:lvl>
  </w:abstractNum>
  <w:abstractNum w:abstractNumId="1">
    <w:nsid w:val="01BB24CE"/>
    <w:multiLevelType w:val="hybridMultilevel"/>
    <w:tmpl w:val="C68A334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05397D64"/>
    <w:multiLevelType w:val="hybridMultilevel"/>
    <w:tmpl w:val="7CF2D644"/>
    <w:lvl w:ilvl="0" w:tplc="B4F0E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55B2BD0"/>
    <w:multiLevelType w:val="multilevel"/>
    <w:tmpl w:val="2CBC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C82B32"/>
    <w:multiLevelType w:val="multilevel"/>
    <w:tmpl w:val="9F621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24412E"/>
    <w:multiLevelType w:val="multilevel"/>
    <w:tmpl w:val="6F8A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B86FCE"/>
    <w:multiLevelType w:val="multilevel"/>
    <w:tmpl w:val="23B86F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69B446A"/>
    <w:multiLevelType w:val="hybridMultilevel"/>
    <w:tmpl w:val="A5CAE24A"/>
    <w:lvl w:ilvl="0" w:tplc="E2F686E2">
      <w:start w:val="1"/>
      <w:numFmt w:val="decimal"/>
      <w:lvlText w:val="%1."/>
      <w:lvlJc w:val="left"/>
      <w:pPr>
        <w:ind w:left="1352" w:hanging="360"/>
      </w:pPr>
      <w:rPr>
        <w:b w:val="0"/>
        <w:bCs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8283F56"/>
    <w:multiLevelType w:val="multilevel"/>
    <w:tmpl w:val="2DDA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30717E"/>
    <w:multiLevelType w:val="hybridMultilevel"/>
    <w:tmpl w:val="5EE02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7A7D72"/>
    <w:multiLevelType w:val="hybridMultilevel"/>
    <w:tmpl w:val="BB22AF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F700671"/>
    <w:multiLevelType w:val="hybridMultilevel"/>
    <w:tmpl w:val="C5944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5442C2"/>
    <w:multiLevelType w:val="multilevel"/>
    <w:tmpl w:val="B2D0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274910"/>
    <w:multiLevelType w:val="hybridMultilevel"/>
    <w:tmpl w:val="47F02366"/>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4">
    <w:nsid w:val="33EF1A3C"/>
    <w:multiLevelType w:val="hybridMultilevel"/>
    <w:tmpl w:val="418AB100"/>
    <w:lvl w:ilvl="0" w:tplc="E1086C5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B5C6BC9"/>
    <w:multiLevelType w:val="multilevel"/>
    <w:tmpl w:val="AC083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CC639E2"/>
    <w:multiLevelType w:val="hybridMultilevel"/>
    <w:tmpl w:val="0EFEA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CE7309D"/>
    <w:multiLevelType w:val="hybridMultilevel"/>
    <w:tmpl w:val="7CC293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D2A3FC9"/>
    <w:multiLevelType w:val="hybridMultilevel"/>
    <w:tmpl w:val="1BD40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742BC2"/>
    <w:multiLevelType w:val="hybridMultilevel"/>
    <w:tmpl w:val="CCC40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976E08"/>
    <w:multiLevelType w:val="hybridMultilevel"/>
    <w:tmpl w:val="B776D5DA"/>
    <w:lvl w:ilvl="0" w:tplc="C330BEA6">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903A89"/>
    <w:multiLevelType w:val="multilevel"/>
    <w:tmpl w:val="D4F8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465E26"/>
    <w:multiLevelType w:val="hybridMultilevel"/>
    <w:tmpl w:val="85CC57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80538F"/>
    <w:multiLevelType w:val="multilevel"/>
    <w:tmpl w:val="A79A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F128D8"/>
    <w:multiLevelType w:val="multilevel"/>
    <w:tmpl w:val="4706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1A01FB"/>
    <w:multiLevelType w:val="hybridMultilevel"/>
    <w:tmpl w:val="53183BDE"/>
    <w:lvl w:ilvl="0" w:tplc="0206E326">
      <w:start w:val="1"/>
      <w:numFmt w:val="decimal"/>
      <w:suff w:val="space"/>
      <w:lvlText w:val="%1."/>
      <w:lvlJc w:val="left"/>
      <w:pPr>
        <w:ind w:left="1429"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A1F190A"/>
    <w:multiLevelType w:val="multilevel"/>
    <w:tmpl w:val="6E924F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617800DE"/>
    <w:multiLevelType w:val="hybridMultilevel"/>
    <w:tmpl w:val="07163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4D63BA"/>
    <w:multiLevelType w:val="multilevel"/>
    <w:tmpl w:val="4748E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C7E6B14"/>
    <w:multiLevelType w:val="hybridMultilevel"/>
    <w:tmpl w:val="4D341F3E"/>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30">
    <w:nsid w:val="70B2239B"/>
    <w:multiLevelType w:val="multilevel"/>
    <w:tmpl w:val="6DEA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48241C"/>
    <w:multiLevelType w:val="hybridMultilevel"/>
    <w:tmpl w:val="9D2C502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3880ABA"/>
    <w:multiLevelType w:val="multilevel"/>
    <w:tmpl w:val="877C0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D33341"/>
    <w:multiLevelType w:val="multilevel"/>
    <w:tmpl w:val="1158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A294B52"/>
    <w:multiLevelType w:val="hybridMultilevel"/>
    <w:tmpl w:val="AA5E4CA8"/>
    <w:lvl w:ilvl="0" w:tplc="D6F880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B471C41"/>
    <w:multiLevelType w:val="multilevel"/>
    <w:tmpl w:val="268AD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CE93CC5"/>
    <w:multiLevelType w:val="hybridMultilevel"/>
    <w:tmpl w:val="75F6DE2A"/>
    <w:lvl w:ilvl="0" w:tplc="E1086C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num>
  <w:num w:numId="2">
    <w:abstractNumId w:val="9"/>
  </w:num>
  <w:num w:numId="3">
    <w:abstractNumId w:val="11"/>
  </w:num>
  <w:num w:numId="4">
    <w:abstractNumId w:val="2"/>
  </w:num>
  <w:num w:numId="5">
    <w:abstractNumId w:val="15"/>
  </w:num>
  <w:num w:numId="6">
    <w:abstractNumId w:val="35"/>
  </w:num>
  <w:num w:numId="7">
    <w:abstractNumId w:val="22"/>
  </w:num>
  <w:num w:numId="8">
    <w:abstractNumId w:val="6"/>
  </w:num>
  <w:num w:numId="9">
    <w:abstractNumId w:val="20"/>
  </w:num>
  <w:num w:numId="10">
    <w:abstractNumId w:val="17"/>
  </w:num>
  <w:num w:numId="11">
    <w:abstractNumId w:val="25"/>
  </w:num>
  <w:num w:numId="12">
    <w:abstractNumId w:val="27"/>
  </w:num>
  <w:num w:numId="13">
    <w:abstractNumId w:val="16"/>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9"/>
  </w:num>
  <w:num w:numId="17">
    <w:abstractNumId w:val="4"/>
  </w:num>
  <w:num w:numId="18">
    <w:abstractNumId w:val="26"/>
  </w:num>
  <w:num w:numId="19">
    <w:abstractNumId w:val="13"/>
  </w:num>
  <w:num w:numId="20">
    <w:abstractNumId w:val="7"/>
  </w:num>
  <w:num w:numId="21">
    <w:abstractNumId w:val="30"/>
  </w:num>
  <w:num w:numId="22">
    <w:abstractNumId w:val="12"/>
  </w:num>
  <w:num w:numId="23">
    <w:abstractNumId w:val="21"/>
  </w:num>
  <w:num w:numId="24">
    <w:abstractNumId w:val="8"/>
  </w:num>
  <w:num w:numId="25">
    <w:abstractNumId w:val="3"/>
  </w:num>
  <w:num w:numId="26">
    <w:abstractNumId w:val="33"/>
  </w:num>
  <w:num w:numId="27">
    <w:abstractNumId w:val="24"/>
  </w:num>
  <w:num w:numId="28">
    <w:abstractNumId w:val="19"/>
  </w:num>
  <w:num w:numId="29">
    <w:abstractNumId w:val="1"/>
  </w:num>
  <w:num w:numId="30">
    <w:abstractNumId w:val="34"/>
  </w:num>
  <w:num w:numId="31">
    <w:abstractNumId w:val="10"/>
  </w:num>
  <w:num w:numId="32">
    <w:abstractNumId w:val="36"/>
  </w:num>
  <w:num w:numId="33">
    <w:abstractNumId w:val="14"/>
  </w:num>
  <w:num w:numId="34">
    <w:abstractNumId w:val="5"/>
  </w:num>
  <w:num w:numId="35">
    <w:abstractNumId w:val="23"/>
  </w:num>
  <w:num w:numId="36">
    <w:abstractNumId w:val="32"/>
  </w:num>
  <w:num w:numId="3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707D5"/>
    <w:rsid w:val="00000CF1"/>
    <w:rsid w:val="00024A4E"/>
    <w:rsid w:val="00101679"/>
    <w:rsid w:val="001130E4"/>
    <w:rsid w:val="001571A7"/>
    <w:rsid w:val="00164C0B"/>
    <w:rsid w:val="001E7DEA"/>
    <w:rsid w:val="00204FEC"/>
    <w:rsid w:val="00211EEF"/>
    <w:rsid w:val="00237C86"/>
    <w:rsid w:val="00254D17"/>
    <w:rsid w:val="002C7821"/>
    <w:rsid w:val="0030059A"/>
    <w:rsid w:val="00312AA7"/>
    <w:rsid w:val="003437C3"/>
    <w:rsid w:val="0038535D"/>
    <w:rsid w:val="003B26AA"/>
    <w:rsid w:val="003E3EB5"/>
    <w:rsid w:val="003E77D8"/>
    <w:rsid w:val="004611AA"/>
    <w:rsid w:val="004D6D00"/>
    <w:rsid w:val="00507CF9"/>
    <w:rsid w:val="005E1127"/>
    <w:rsid w:val="00605128"/>
    <w:rsid w:val="006A0820"/>
    <w:rsid w:val="006E2375"/>
    <w:rsid w:val="006F7CFF"/>
    <w:rsid w:val="007F244E"/>
    <w:rsid w:val="008B708B"/>
    <w:rsid w:val="009321D7"/>
    <w:rsid w:val="009703F2"/>
    <w:rsid w:val="00A05719"/>
    <w:rsid w:val="00B239DE"/>
    <w:rsid w:val="00B644BF"/>
    <w:rsid w:val="00B707D5"/>
    <w:rsid w:val="00B93843"/>
    <w:rsid w:val="00C73506"/>
    <w:rsid w:val="00C83E93"/>
    <w:rsid w:val="00C84F35"/>
    <w:rsid w:val="00CE63E1"/>
    <w:rsid w:val="00D0363C"/>
    <w:rsid w:val="00D60961"/>
    <w:rsid w:val="00E23467"/>
    <w:rsid w:val="00E438B0"/>
    <w:rsid w:val="00EB0ED2"/>
    <w:rsid w:val="00EE648F"/>
    <w:rsid w:val="00F3513E"/>
    <w:rsid w:val="00F975FD"/>
    <w:rsid w:val="00FE7C51"/>
    <w:rsid w:val="00FF68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843"/>
  </w:style>
  <w:style w:type="paragraph" w:styleId="1">
    <w:name w:val="heading 1"/>
    <w:basedOn w:val="a"/>
    <w:next w:val="a"/>
    <w:uiPriority w:val="9"/>
    <w:qFormat/>
    <w:rsid w:val="00B93843"/>
    <w:pPr>
      <w:keepNext/>
      <w:keepLines/>
      <w:spacing w:before="240" w:after="0"/>
      <w:outlineLvl w:val="0"/>
    </w:pPr>
    <w:rPr>
      <w:color w:val="2E75B5"/>
      <w:sz w:val="32"/>
      <w:szCs w:val="32"/>
    </w:rPr>
  </w:style>
  <w:style w:type="paragraph" w:styleId="2">
    <w:name w:val="heading 2"/>
    <w:basedOn w:val="a"/>
    <w:next w:val="a"/>
    <w:link w:val="20"/>
    <w:uiPriority w:val="9"/>
    <w:unhideWhenUsed/>
    <w:qFormat/>
    <w:rsid w:val="00B93843"/>
    <w:pPr>
      <w:keepNext/>
      <w:keepLines/>
      <w:spacing w:before="360" w:after="80"/>
      <w:outlineLvl w:val="1"/>
    </w:pPr>
    <w:rPr>
      <w:b/>
      <w:sz w:val="36"/>
      <w:szCs w:val="36"/>
    </w:rPr>
  </w:style>
  <w:style w:type="paragraph" w:styleId="3">
    <w:name w:val="heading 3"/>
    <w:basedOn w:val="a"/>
    <w:next w:val="a"/>
    <w:link w:val="30"/>
    <w:uiPriority w:val="9"/>
    <w:unhideWhenUsed/>
    <w:qFormat/>
    <w:rsid w:val="00B93843"/>
    <w:pPr>
      <w:keepNext/>
      <w:keepLines/>
      <w:spacing w:before="280" w:after="80"/>
      <w:outlineLvl w:val="2"/>
    </w:pPr>
    <w:rPr>
      <w:b/>
      <w:sz w:val="28"/>
      <w:szCs w:val="28"/>
    </w:rPr>
  </w:style>
  <w:style w:type="paragraph" w:styleId="4">
    <w:name w:val="heading 4"/>
    <w:basedOn w:val="a"/>
    <w:next w:val="a"/>
    <w:link w:val="40"/>
    <w:uiPriority w:val="9"/>
    <w:unhideWhenUsed/>
    <w:qFormat/>
    <w:rsid w:val="00B93843"/>
    <w:pPr>
      <w:keepNext/>
      <w:keepLines/>
      <w:spacing w:before="240" w:after="40"/>
      <w:outlineLvl w:val="3"/>
    </w:pPr>
    <w:rPr>
      <w:b/>
      <w:sz w:val="24"/>
      <w:szCs w:val="24"/>
    </w:rPr>
  </w:style>
  <w:style w:type="paragraph" w:styleId="5">
    <w:name w:val="heading 5"/>
    <w:basedOn w:val="a"/>
    <w:next w:val="a"/>
    <w:uiPriority w:val="9"/>
    <w:semiHidden/>
    <w:unhideWhenUsed/>
    <w:qFormat/>
    <w:rsid w:val="00B93843"/>
    <w:pPr>
      <w:keepNext/>
      <w:keepLines/>
      <w:spacing w:before="220" w:after="40"/>
      <w:outlineLvl w:val="4"/>
    </w:pPr>
    <w:rPr>
      <w:b/>
    </w:rPr>
  </w:style>
  <w:style w:type="paragraph" w:styleId="6">
    <w:name w:val="heading 6"/>
    <w:basedOn w:val="a"/>
    <w:next w:val="a"/>
    <w:uiPriority w:val="9"/>
    <w:semiHidden/>
    <w:unhideWhenUsed/>
    <w:qFormat/>
    <w:rsid w:val="00B9384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B93843"/>
    <w:tblPr>
      <w:tblCellMar>
        <w:top w:w="0" w:type="dxa"/>
        <w:left w:w="0" w:type="dxa"/>
        <w:bottom w:w="0" w:type="dxa"/>
        <w:right w:w="0" w:type="dxa"/>
      </w:tblCellMar>
    </w:tblPr>
  </w:style>
  <w:style w:type="paragraph" w:styleId="a3">
    <w:name w:val="Title"/>
    <w:basedOn w:val="a"/>
    <w:next w:val="a"/>
    <w:uiPriority w:val="10"/>
    <w:qFormat/>
    <w:rsid w:val="00B93843"/>
    <w:pPr>
      <w:keepNext/>
      <w:keepLines/>
      <w:spacing w:before="480" w:after="120"/>
    </w:pPr>
    <w:rPr>
      <w:b/>
      <w:sz w:val="72"/>
      <w:szCs w:val="72"/>
    </w:rPr>
  </w:style>
  <w:style w:type="paragraph" w:styleId="a4">
    <w:name w:val="Subtitle"/>
    <w:basedOn w:val="a"/>
    <w:next w:val="a"/>
    <w:uiPriority w:val="11"/>
    <w:qFormat/>
    <w:rsid w:val="00B93843"/>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164C0B"/>
    <w:rPr>
      <w:color w:val="0000FF" w:themeColor="hyperlink"/>
      <w:u w:val="single"/>
    </w:rPr>
  </w:style>
  <w:style w:type="character" w:customStyle="1" w:styleId="UnresolvedMention">
    <w:name w:val="Unresolved Mention"/>
    <w:basedOn w:val="a0"/>
    <w:uiPriority w:val="99"/>
    <w:semiHidden/>
    <w:unhideWhenUsed/>
    <w:rsid w:val="00164C0B"/>
    <w:rPr>
      <w:color w:val="605E5C"/>
      <w:shd w:val="clear" w:color="auto" w:fill="E1DFDD"/>
    </w:rPr>
  </w:style>
  <w:style w:type="character" w:customStyle="1" w:styleId="t286pc">
    <w:name w:val="t286pc"/>
    <w:basedOn w:val="a0"/>
    <w:rsid w:val="00204FEC"/>
  </w:style>
  <w:style w:type="character" w:styleId="a6">
    <w:name w:val="Strong"/>
    <w:basedOn w:val="a0"/>
    <w:uiPriority w:val="22"/>
    <w:qFormat/>
    <w:rsid w:val="00204FEC"/>
    <w:rPr>
      <w:b/>
      <w:bCs/>
    </w:rPr>
  </w:style>
  <w:style w:type="paragraph" w:customStyle="1" w:styleId="z1qcye">
    <w:name w:val="z1qcye"/>
    <w:basedOn w:val="a"/>
    <w:rsid w:val="00204FEC"/>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link w:val="a8"/>
    <w:uiPriority w:val="34"/>
    <w:qFormat/>
    <w:rsid w:val="00312AA7"/>
    <w:pPr>
      <w:ind w:left="720"/>
      <w:contextualSpacing/>
    </w:pPr>
    <w:rPr>
      <w:rFonts w:cs="Mangal"/>
      <w:szCs w:val="20"/>
      <w:lang w:eastAsia="en-US" w:bidi="hi-IN"/>
    </w:rPr>
  </w:style>
  <w:style w:type="paragraph" w:customStyle="1" w:styleId="min-w-0">
    <w:name w:val="min-w-0"/>
    <w:basedOn w:val="a"/>
    <w:rsid w:val="00312AA7"/>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font-semibold">
    <w:name w:val="font-semibold"/>
    <w:basedOn w:val="a0"/>
    <w:rsid w:val="00312AA7"/>
  </w:style>
  <w:style w:type="paragraph" w:styleId="a9">
    <w:name w:val="Normal (Web)"/>
    <w:basedOn w:val="a"/>
    <w:uiPriority w:val="99"/>
    <w:unhideWhenUsed/>
    <w:qFormat/>
    <w:rsid w:val="00312AA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aa">
    <w:name w:val="caption"/>
    <w:basedOn w:val="a"/>
    <w:next w:val="a"/>
    <w:uiPriority w:val="35"/>
    <w:unhideWhenUsed/>
    <w:qFormat/>
    <w:rsid w:val="003E77D8"/>
    <w:pPr>
      <w:spacing w:after="200" w:line="240" w:lineRule="auto"/>
      <w:ind w:firstLine="709"/>
    </w:pPr>
    <w:rPr>
      <w:rFonts w:asciiTheme="minorHAnsi" w:eastAsiaTheme="minorHAnsi" w:hAnsiTheme="minorHAnsi" w:cstheme="minorBidi"/>
      <w:i/>
      <w:iCs/>
      <w:color w:val="1F497D" w:themeColor="text2"/>
      <w:kern w:val="2"/>
      <w:sz w:val="18"/>
      <w:szCs w:val="18"/>
      <w:lang w:eastAsia="en-US"/>
    </w:rPr>
  </w:style>
  <w:style w:type="paragraph" w:styleId="ab">
    <w:name w:val="Balloon Text"/>
    <w:basedOn w:val="a"/>
    <w:link w:val="ac"/>
    <w:uiPriority w:val="99"/>
    <w:semiHidden/>
    <w:unhideWhenUsed/>
    <w:rsid w:val="003E77D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E77D8"/>
    <w:rPr>
      <w:rFonts w:ascii="Tahoma" w:hAnsi="Tahoma" w:cs="Tahoma"/>
      <w:sz w:val="16"/>
      <w:szCs w:val="16"/>
    </w:rPr>
  </w:style>
  <w:style w:type="character" w:customStyle="1" w:styleId="publishedtime">
    <w:name w:val="publishedtime"/>
    <w:basedOn w:val="a0"/>
    <w:rsid w:val="003E77D8"/>
  </w:style>
  <w:style w:type="paragraph" w:styleId="ad">
    <w:name w:val="footnote text"/>
    <w:basedOn w:val="a"/>
    <w:link w:val="ae"/>
    <w:uiPriority w:val="99"/>
    <w:semiHidden/>
    <w:unhideWhenUsed/>
    <w:rsid w:val="0030059A"/>
    <w:pPr>
      <w:spacing w:after="0" w:line="240" w:lineRule="auto"/>
    </w:pPr>
    <w:rPr>
      <w:rFonts w:asciiTheme="minorHAnsi" w:eastAsiaTheme="minorHAnsi" w:hAnsiTheme="minorHAnsi" w:cstheme="minorBidi"/>
      <w:sz w:val="20"/>
      <w:szCs w:val="20"/>
      <w:lang w:eastAsia="en-US"/>
    </w:rPr>
  </w:style>
  <w:style w:type="character" w:customStyle="1" w:styleId="ae">
    <w:name w:val="Текст сноски Знак"/>
    <w:basedOn w:val="a0"/>
    <w:link w:val="ad"/>
    <w:uiPriority w:val="99"/>
    <w:semiHidden/>
    <w:rsid w:val="0030059A"/>
    <w:rPr>
      <w:rFonts w:asciiTheme="minorHAnsi" w:eastAsiaTheme="minorHAnsi" w:hAnsiTheme="minorHAnsi" w:cstheme="minorBidi"/>
      <w:sz w:val="20"/>
      <w:szCs w:val="20"/>
      <w:lang w:eastAsia="en-US"/>
    </w:rPr>
  </w:style>
  <w:style w:type="character" w:customStyle="1" w:styleId="af">
    <w:name w:val="Рефератный Знак"/>
    <w:basedOn w:val="a0"/>
    <w:link w:val="af0"/>
    <w:locked/>
    <w:rsid w:val="0030059A"/>
    <w:rPr>
      <w:rFonts w:ascii="Times New Roman" w:hAnsi="Times New Roman" w:cs="Times New Roman"/>
      <w:color w:val="000000"/>
      <w:sz w:val="28"/>
      <w:szCs w:val="20"/>
    </w:rPr>
  </w:style>
  <w:style w:type="paragraph" w:customStyle="1" w:styleId="af0">
    <w:name w:val="Рефератный"/>
    <w:link w:val="af"/>
    <w:qFormat/>
    <w:rsid w:val="0030059A"/>
    <w:pPr>
      <w:spacing w:after="0" w:line="360" w:lineRule="exact"/>
      <w:ind w:firstLine="709"/>
      <w:jc w:val="both"/>
    </w:pPr>
    <w:rPr>
      <w:rFonts w:ascii="Times New Roman" w:hAnsi="Times New Roman" w:cs="Times New Roman"/>
      <w:color w:val="000000"/>
      <w:sz w:val="28"/>
      <w:szCs w:val="20"/>
    </w:rPr>
  </w:style>
  <w:style w:type="paragraph" w:styleId="af1">
    <w:name w:val="No Spacing"/>
    <w:uiPriority w:val="1"/>
    <w:qFormat/>
    <w:rsid w:val="0030059A"/>
    <w:pPr>
      <w:spacing w:after="0" w:line="240" w:lineRule="auto"/>
    </w:pPr>
    <w:rPr>
      <w:rFonts w:ascii="Times New Roman" w:eastAsia="SimSun" w:hAnsi="Times New Roman" w:cs="SimSun"/>
      <w:lang w:eastAsia="en-US"/>
    </w:rPr>
  </w:style>
  <w:style w:type="table" w:styleId="af2">
    <w:name w:val="Table Grid"/>
    <w:basedOn w:val="a1"/>
    <w:uiPriority w:val="59"/>
    <w:rsid w:val="00211EEF"/>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По умолчанию"/>
    <w:rsid w:val="00507CF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rPr>
  </w:style>
  <w:style w:type="paragraph" w:customStyle="1" w:styleId="ds-markdown-paragraph">
    <w:name w:val="ds-markdown-paragraph"/>
    <w:basedOn w:val="a"/>
    <w:rsid w:val="00507C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07CF9"/>
  </w:style>
  <w:style w:type="paragraph" w:customStyle="1" w:styleId="Standard">
    <w:name w:val="Standard"/>
    <w:uiPriority w:val="99"/>
    <w:rsid w:val="00507CF9"/>
    <w:pPr>
      <w:suppressAutoHyphens/>
      <w:autoSpaceDN w:val="0"/>
      <w:spacing w:line="249" w:lineRule="auto"/>
      <w:textAlignment w:val="baseline"/>
    </w:pPr>
    <w:rPr>
      <w:rFonts w:cs="Tahoma"/>
      <w:lang w:eastAsia="en-US"/>
    </w:rPr>
  </w:style>
  <w:style w:type="character" w:customStyle="1" w:styleId="a8">
    <w:name w:val="Абзац списка Знак"/>
    <w:basedOn w:val="a0"/>
    <w:link w:val="a7"/>
    <w:uiPriority w:val="34"/>
    <w:rsid w:val="00507CF9"/>
    <w:rPr>
      <w:rFonts w:cs="Mangal"/>
      <w:szCs w:val="20"/>
      <w:lang w:eastAsia="en-US" w:bidi="hi-IN"/>
    </w:rPr>
  </w:style>
  <w:style w:type="character" w:customStyle="1" w:styleId="20">
    <w:name w:val="Заголовок 2 Знак"/>
    <w:basedOn w:val="a0"/>
    <w:link w:val="2"/>
    <w:uiPriority w:val="9"/>
    <w:rsid w:val="00507CF9"/>
    <w:rPr>
      <w:b/>
      <w:sz w:val="36"/>
      <w:szCs w:val="36"/>
    </w:rPr>
  </w:style>
  <w:style w:type="character" w:customStyle="1" w:styleId="30">
    <w:name w:val="Заголовок 3 Знак"/>
    <w:basedOn w:val="a0"/>
    <w:link w:val="3"/>
    <w:uiPriority w:val="9"/>
    <w:rsid w:val="00507CF9"/>
    <w:rPr>
      <w:b/>
      <w:sz w:val="28"/>
      <w:szCs w:val="28"/>
    </w:rPr>
  </w:style>
  <w:style w:type="character" w:customStyle="1" w:styleId="40">
    <w:name w:val="Заголовок 4 Знак"/>
    <w:basedOn w:val="a0"/>
    <w:link w:val="4"/>
    <w:uiPriority w:val="9"/>
    <w:rsid w:val="00507CF9"/>
    <w:rPr>
      <w:b/>
      <w:sz w:val="24"/>
      <w:szCs w:val="24"/>
    </w:rPr>
  </w:style>
  <w:style w:type="character" w:styleId="af4">
    <w:name w:val="Emphasis"/>
    <w:basedOn w:val="a0"/>
    <w:uiPriority w:val="20"/>
    <w:qFormat/>
    <w:rsid w:val="00507CF9"/>
    <w:rPr>
      <w:i/>
      <w:iCs/>
    </w:rPr>
  </w:style>
  <w:style w:type="character" w:customStyle="1" w:styleId="katex-mathml">
    <w:name w:val="katex-mathml"/>
    <w:basedOn w:val="a0"/>
    <w:rsid w:val="00507CF9"/>
  </w:style>
  <w:style w:type="character" w:customStyle="1" w:styleId="mord">
    <w:name w:val="mord"/>
    <w:basedOn w:val="a0"/>
    <w:rsid w:val="00507CF9"/>
  </w:style>
  <w:style w:type="character" w:customStyle="1" w:styleId="mopen">
    <w:name w:val="mopen"/>
    <w:basedOn w:val="a0"/>
    <w:rsid w:val="00507CF9"/>
  </w:style>
  <w:style w:type="character" w:customStyle="1" w:styleId="vlist-s">
    <w:name w:val="vlist-s"/>
    <w:basedOn w:val="a0"/>
    <w:rsid w:val="00507CF9"/>
  </w:style>
  <w:style w:type="character" w:customStyle="1" w:styleId="mclose">
    <w:name w:val="mclose"/>
    <w:basedOn w:val="a0"/>
    <w:rsid w:val="00507CF9"/>
  </w:style>
  <w:style w:type="character" w:customStyle="1" w:styleId="mspace">
    <w:name w:val="mspace"/>
    <w:basedOn w:val="a0"/>
    <w:rsid w:val="00507CF9"/>
  </w:style>
  <w:style w:type="character" w:customStyle="1" w:styleId="mrel">
    <w:name w:val="mrel"/>
    <w:basedOn w:val="a0"/>
    <w:rsid w:val="00507CF9"/>
  </w:style>
  <w:style w:type="character" w:customStyle="1" w:styleId="mop">
    <w:name w:val="mop"/>
    <w:basedOn w:val="a0"/>
    <w:rsid w:val="00507CF9"/>
  </w:style>
  <w:style w:type="character" w:customStyle="1" w:styleId="mbin">
    <w:name w:val="mbin"/>
    <w:basedOn w:val="a0"/>
    <w:rsid w:val="00507CF9"/>
  </w:style>
  <w:style w:type="character" w:customStyle="1" w:styleId="mpunct">
    <w:name w:val="mpunct"/>
    <w:basedOn w:val="a0"/>
    <w:rsid w:val="00507CF9"/>
  </w:style>
  <w:style w:type="character" w:customStyle="1" w:styleId="mtight">
    <w:name w:val="mtight"/>
    <w:basedOn w:val="a0"/>
    <w:rsid w:val="00507CF9"/>
  </w:style>
  <w:style w:type="character" w:styleId="af5">
    <w:name w:val="Placeholder Text"/>
    <w:basedOn w:val="a0"/>
    <w:uiPriority w:val="99"/>
    <w:semiHidden/>
    <w:rsid w:val="00507CF9"/>
    <w:rPr>
      <w:color w:val="808080"/>
    </w:rPr>
  </w:style>
  <w:style w:type="paragraph" w:styleId="af6">
    <w:name w:val="header"/>
    <w:basedOn w:val="a"/>
    <w:link w:val="af7"/>
    <w:uiPriority w:val="99"/>
    <w:semiHidden/>
    <w:unhideWhenUsed/>
    <w:rsid w:val="007F244E"/>
    <w:pPr>
      <w:tabs>
        <w:tab w:val="center" w:pos="4677"/>
        <w:tab w:val="right" w:pos="9355"/>
      </w:tabs>
      <w:spacing w:after="0" w:line="240" w:lineRule="auto"/>
    </w:pPr>
  </w:style>
  <w:style w:type="character" w:customStyle="1" w:styleId="af7">
    <w:name w:val="Верхний колонтитул Знак"/>
    <w:basedOn w:val="a0"/>
    <w:link w:val="af6"/>
    <w:uiPriority w:val="99"/>
    <w:semiHidden/>
    <w:rsid w:val="007F244E"/>
  </w:style>
  <w:style w:type="paragraph" w:styleId="af8">
    <w:name w:val="footer"/>
    <w:basedOn w:val="a"/>
    <w:link w:val="af9"/>
    <w:uiPriority w:val="99"/>
    <w:semiHidden/>
    <w:unhideWhenUsed/>
    <w:rsid w:val="007F244E"/>
    <w:pPr>
      <w:tabs>
        <w:tab w:val="center" w:pos="4677"/>
        <w:tab w:val="right" w:pos="9355"/>
      </w:tabs>
      <w:spacing w:after="0" w:line="240" w:lineRule="auto"/>
    </w:pPr>
  </w:style>
  <w:style w:type="character" w:customStyle="1" w:styleId="af9">
    <w:name w:val="Нижний колонтитул Знак"/>
    <w:basedOn w:val="a0"/>
    <w:link w:val="af8"/>
    <w:uiPriority w:val="99"/>
    <w:semiHidden/>
    <w:rsid w:val="007F244E"/>
  </w:style>
  <w:style w:type="paragraph" w:styleId="afa">
    <w:name w:val="Body Text"/>
    <w:basedOn w:val="a"/>
    <w:link w:val="afb"/>
    <w:uiPriority w:val="99"/>
    <w:unhideWhenUsed/>
    <w:rsid w:val="007F244E"/>
    <w:pPr>
      <w:spacing w:after="120" w:line="276" w:lineRule="auto"/>
    </w:pPr>
    <w:rPr>
      <w:rFonts w:eastAsia="Times New Roman" w:cs="Times New Roman"/>
    </w:rPr>
  </w:style>
  <w:style w:type="character" w:customStyle="1" w:styleId="afb">
    <w:name w:val="Основной текст Знак"/>
    <w:basedOn w:val="a0"/>
    <w:link w:val="afa"/>
    <w:uiPriority w:val="99"/>
    <w:rsid w:val="007F244E"/>
    <w:rPr>
      <w:rFonts w:eastAsia="Times New Roman" w:cs="Times New Roman"/>
    </w:rPr>
  </w:style>
</w:styles>
</file>

<file path=word/webSettings.xml><?xml version="1.0" encoding="utf-8"?>
<w:webSettings xmlns:r="http://schemas.openxmlformats.org/officeDocument/2006/relationships" xmlns:w="http://schemas.openxmlformats.org/wordprocessingml/2006/main">
  <w:divs>
    <w:div w:id="66223431">
      <w:bodyDiv w:val="1"/>
      <w:marLeft w:val="0"/>
      <w:marRight w:val="0"/>
      <w:marTop w:val="0"/>
      <w:marBottom w:val="0"/>
      <w:divBdr>
        <w:top w:val="none" w:sz="0" w:space="0" w:color="auto"/>
        <w:left w:val="none" w:sz="0" w:space="0" w:color="auto"/>
        <w:bottom w:val="none" w:sz="0" w:space="0" w:color="auto"/>
        <w:right w:val="none" w:sz="0" w:space="0" w:color="auto"/>
      </w:divBdr>
    </w:div>
    <w:div w:id="137572450">
      <w:bodyDiv w:val="1"/>
      <w:marLeft w:val="0"/>
      <w:marRight w:val="0"/>
      <w:marTop w:val="0"/>
      <w:marBottom w:val="0"/>
      <w:divBdr>
        <w:top w:val="none" w:sz="0" w:space="0" w:color="auto"/>
        <w:left w:val="none" w:sz="0" w:space="0" w:color="auto"/>
        <w:bottom w:val="none" w:sz="0" w:space="0" w:color="auto"/>
        <w:right w:val="none" w:sz="0" w:space="0" w:color="auto"/>
      </w:divBdr>
    </w:div>
    <w:div w:id="222563699">
      <w:bodyDiv w:val="1"/>
      <w:marLeft w:val="0"/>
      <w:marRight w:val="0"/>
      <w:marTop w:val="0"/>
      <w:marBottom w:val="0"/>
      <w:divBdr>
        <w:top w:val="none" w:sz="0" w:space="0" w:color="auto"/>
        <w:left w:val="none" w:sz="0" w:space="0" w:color="auto"/>
        <w:bottom w:val="none" w:sz="0" w:space="0" w:color="auto"/>
        <w:right w:val="none" w:sz="0" w:space="0" w:color="auto"/>
      </w:divBdr>
    </w:div>
    <w:div w:id="345711200">
      <w:bodyDiv w:val="1"/>
      <w:marLeft w:val="0"/>
      <w:marRight w:val="0"/>
      <w:marTop w:val="0"/>
      <w:marBottom w:val="0"/>
      <w:divBdr>
        <w:top w:val="none" w:sz="0" w:space="0" w:color="auto"/>
        <w:left w:val="none" w:sz="0" w:space="0" w:color="auto"/>
        <w:bottom w:val="none" w:sz="0" w:space="0" w:color="auto"/>
        <w:right w:val="none" w:sz="0" w:space="0" w:color="auto"/>
      </w:divBdr>
    </w:div>
    <w:div w:id="381637211">
      <w:bodyDiv w:val="1"/>
      <w:marLeft w:val="0"/>
      <w:marRight w:val="0"/>
      <w:marTop w:val="0"/>
      <w:marBottom w:val="0"/>
      <w:divBdr>
        <w:top w:val="none" w:sz="0" w:space="0" w:color="auto"/>
        <w:left w:val="none" w:sz="0" w:space="0" w:color="auto"/>
        <w:bottom w:val="none" w:sz="0" w:space="0" w:color="auto"/>
        <w:right w:val="none" w:sz="0" w:space="0" w:color="auto"/>
      </w:divBdr>
    </w:div>
    <w:div w:id="420374520">
      <w:bodyDiv w:val="1"/>
      <w:marLeft w:val="0"/>
      <w:marRight w:val="0"/>
      <w:marTop w:val="0"/>
      <w:marBottom w:val="0"/>
      <w:divBdr>
        <w:top w:val="none" w:sz="0" w:space="0" w:color="auto"/>
        <w:left w:val="none" w:sz="0" w:space="0" w:color="auto"/>
        <w:bottom w:val="none" w:sz="0" w:space="0" w:color="auto"/>
        <w:right w:val="none" w:sz="0" w:space="0" w:color="auto"/>
      </w:divBdr>
    </w:div>
    <w:div w:id="425003232">
      <w:bodyDiv w:val="1"/>
      <w:marLeft w:val="0"/>
      <w:marRight w:val="0"/>
      <w:marTop w:val="0"/>
      <w:marBottom w:val="0"/>
      <w:divBdr>
        <w:top w:val="none" w:sz="0" w:space="0" w:color="auto"/>
        <w:left w:val="none" w:sz="0" w:space="0" w:color="auto"/>
        <w:bottom w:val="none" w:sz="0" w:space="0" w:color="auto"/>
        <w:right w:val="none" w:sz="0" w:space="0" w:color="auto"/>
      </w:divBdr>
    </w:div>
    <w:div w:id="475144327">
      <w:bodyDiv w:val="1"/>
      <w:marLeft w:val="0"/>
      <w:marRight w:val="0"/>
      <w:marTop w:val="0"/>
      <w:marBottom w:val="0"/>
      <w:divBdr>
        <w:top w:val="none" w:sz="0" w:space="0" w:color="auto"/>
        <w:left w:val="none" w:sz="0" w:space="0" w:color="auto"/>
        <w:bottom w:val="none" w:sz="0" w:space="0" w:color="auto"/>
        <w:right w:val="none" w:sz="0" w:space="0" w:color="auto"/>
      </w:divBdr>
    </w:div>
    <w:div w:id="494103226">
      <w:bodyDiv w:val="1"/>
      <w:marLeft w:val="0"/>
      <w:marRight w:val="0"/>
      <w:marTop w:val="0"/>
      <w:marBottom w:val="0"/>
      <w:divBdr>
        <w:top w:val="none" w:sz="0" w:space="0" w:color="auto"/>
        <w:left w:val="none" w:sz="0" w:space="0" w:color="auto"/>
        <w:bottom w:val="none" w:sz="0" w:space="0" w:color="auto"/>
        <w:right w:val="none" w:sz="0" w:space="0" w:color="auto"/>
      </w:divBdr>
    </w:div>
    <w:div w:id="538276695">
      <w:bodyDiv w:val="1"/>
      <w:marLeft w:val="0"/>
      <w:marRight w:val="0"/>
      <w:marTop w:val="0"/>
      <w:marBottom w:val="0"/>
      <w:divBdr>
        <w:top w:val="none" w:sz="0" w:space="0" w:color="auto"/>
        <w:left w:val="none" w:sz="0" w:space="0" w:color="auto"/>
        <w:bottom w:val="none" w:sz="0" w:space="0" w:color="auto"/>
        <w:right w:val="none" w:sz="0" w:space="0" w:color="auto"/>
      </w:divBdr>
    </w:div>
    <w:div w:id="557791376">
      <w:bodyDiv w:val="1"/>
      <w:marLeft w:val="0"/>
      <w:marRight w:val="0"/>
      <w:marTop w:val="0"/>
      <w:marBottom w:val="0"/>
      <w:divBdr>
        <w:top w:val="none" w:sz="0" w:space="0" w:color="auto"/>
        <w:left w:val="none" w:sz="0" w:space="0" w:color="auto"/>
        <w:bottom w:val="none" w:sz="0" w:space="0" w:color="auto"/>
        <w:right w:val="none" w:sz="0" w:space="0" w:color="auto"/>
      </w:divBdr>
    </w:div>
    <w:div w:id="592472353">
      <w:bodyDiv w:val="1"/>
      <w:marLeft w:val="0"/>
      <w:marRight w:val="0"/>
      <w:marTop w:val="0"/>
      <w:marBottom w:val="0"/>
      <w:divBdr>
        <w:top w:val="none" w:sz="0" w:space="0" w:color="auto"/>
        <w:left w:val="none" w:sz="0" w:space="0" w:color="auto"/>
        <w:bottom w:val="none" w:sz="0" w:space="0" w:color="auto"/>
        <w:right w:val="none" w:sz="0" w:space="0" w:color="auto"/>
      </w:divBdr>
    </w:div>
    <w:div w:id="636447395">
      <w:bodyDiv w:val="1"/>
      <w:marLeft w:val="0"/>
      <w:marRight w:val="0"/>
      <w:marTop w:val="0"/>
      <w:marBottom w:val="0"/>
      <w:divBdr>
        <w:top w:val="none" w:sz="0" w:space="0" w:color="auto"/>
        <w:left w:val="none" w:sz="0" w:space="0" w:color="auto"/>
        <w:bottom w:val="none" w:sz="0" w:space="0" w:color="auto"/>
        <w:right w:val="none" w:sz="0" w:space="0" w:color="auto"/>
      </w:divBdr>
    </w:div>
    <w:div w:id="710226878">
      <w:bodyDiv w:val="1"/>
      <w:marLeft w:val="0"/>
      <w:marRight w:val="0"/>
      <w:marTop w:val="0"/>
      <w:marBottom w:val="0"/>
      <w:divBdr>
        <w:top w:val="none" w:sz="0" w:space="0" w:color="auto"/>
        <w:left w:val="none" w:sz="0" w:space="0" w:color="auto"/>
        <w:bottom w:val="none" w:sz="0" w:space="0" w:color="auto"/>
        <w:right w:val="none" w:sz="0" w:space="0" w:color="auto"/>
      </w:divBdr>
    </w:div>
    <w:div w:id="715012481">
      <w:bodyDiv w:val="1"/>
      <w:marLeft w:val="0"/>
      <w:marRight w:val="0"/>
      <w:marTop w:val="0"/>
      <w:marBottom w:val="0"/>
      <w:divBdr>
        <w:top w:val="none" w:sz="0" w:space="0" w:color="auto"/>
        <w:left w:val="none" w:sz="0" w:space="0" w:color="auto"/>
        <w:bottom w:val="none" w:sz="0" w:space="0" w:color="auto"/>
        <w:right w:val="none" w:sz="0" w:space="0" w:color="auto"/>
      </w:divBdr>
    </w:div>
    <w:div w:id="780761728">
      <w:bodyDiv w:val="1"/>
      <w:marLeft w:val="0"/>
      <w:marRight w:val="0"/>
      <w:marTop w:val="0"/>
      <w:marBottom w:val="0"/>
      <w:divBdr>
        <w:top w:val="none" w:sz="0" w:space="0" w:color="auto"/>
        <w:left w:val="none" w:sz="0" w:space="0" w:color="auto"/>
        <w:bottom w:val="none" w:sz="0" w:space="0" w:color="auto"/>
        <w:right w:val="none" w:sz="0" w:space="0" w:color="auto"/>
      </w:divBdr>
    </w:div>
    <w:div w:id="792480351">
      <w:bodyDiv w:val="1"/>
      <w:marLeft w:val="0"/>
      <w:marRight w:val="0"/>
      <w:marTop w:val="0"/>
      <w:marBottom w:val="0"/>
      <w:divBdr>
        <w:top w:val="none" w:sz="0" w:space="0" w:color="auto"/>
        <w:left w:val="none" w:sz="0" w:space="0" w:color="auto"/>
        <w:bottom w:val="none" w:sz="0" w:space="0" w:color="auto"/>
        <w:right w:val="none" w:sz="0" w:space="0" w:color="auto"/>
      </w:divBdr>
    </w:div>
    <w:div w:id="817497408">
      <w:bodyDiv w:val="1"/>
      <w:marLeft w:val="0"/>
      <w:marRight w:val="0"/>
      <w:marTop w:val="0"/>
      <w:marBottom w:val="0"/>
      <w:divBdr>
        <w:top w:val="none" w:sz="0" w:space="0" w:color="auto"/>
        <w:left w:val="none" w:sz="0" w:space="0" w:color="auto"/>
        <w:bottom w:val="none" w:sz="0" w:space="0" w:color="auto"/>
        <w:right w:val="none" w:sz="0" w:space="0" w:color="auto"/>
      </w:divBdr>
    </w:div>
    <w:div w:id="854341089">
      <w:bodyDiv w:val="1"/>
      <w:marLeft w:val="0"/>
      <w:marRight w:val="0"/>
      <w:marTop w:val="0"/>
      <w:marBottom w:val="0"/>
      <w:divBdr>
        <w:top w:val="none" w:sz="0" w:space="0" w:color="auto"/>
        <w:left w:val="none" w:sz="0" w:space="0" w:color="auto"/>
        <w:bottom w:val="none" w:sz="0" w:space="0" w:color="auto"/>
        <w:right w:val="none" w:sz="0" w:space="0" w:color="auto"/>
      </w:divBdr>
    </w:div>
    <w:div w:id="893395311">
      <w:bodyDiv w:val="1"/>
      <w:marLeft w:val="0"/>
      <w:marRight w:val="0"/>
      <w:marTop w:val="0"/>
      <w:marBottom w:val="0"/>
      <w:divBdr>
        <w:top w:val="none" w:sz="0" w:space="0" w:color="auto"/>
        <w:left w:val="none" w:sz="0" w:space="0" w:color="auto"/>
        <w:bottom w:val="none" w:sz="0" w:space="0" w:color="auto"/>
        <w:right w:val="none" w:sz="0" w:space="0" w:color="auto"/>
      </w:divBdr>
    </w:div>
    <w:div w:id="978461902">
      <w:bodyDiv w:val="1"/>
      <w:marLeft w:val="0"/>
      <w:marRight w:val="0"/>
      <w:marTop w:val="0"/>
      <w:marBottom w:val="0"/>
      <w:divBdr>
        <w:top w:val="none" w:sz="0" w:space="0" w:color="auto"/>
        <w:left w:val="none" w:sz="0" w:space="0" w:color="auto"/>
        <w:bottom w:val="none" w:sz="0" w:space="0" w:color="auto"/>
        <w:right w:val="none" w:sz="0" w:space="0" w:color="auto"/>
      </w:divBdr>
    </w:div>
    <w:div w:id="1008675155">
      <w:bodyDiv w:val="1"/>
      <w:marLeft w:val="0"/>
      <w:marRight w:val="0"/>
      <w:marTop w:val="0"/>
      <w:marBottom w:val="0"/>
      <w:divBdr>
        <w:top w:val="none" w:sz="0" w:space="0" w:color="auto"/>
        <w:left w:val="none" w:sz="0" w:space="0" w:color="auto"/>
        <w:bottom w:val="none" w:sz="0" w:space="0" w:color="auto"/>
        <w:right w:val="none" w:sz="0" w:space="0" w:color="auto"/>
      </w:divBdr>
    </w:div>
    <w:div w:id="1039279662">
      <w:bodyDiv w:val="1"/>
      <w:marLeft w:val="0"/>
      <w:marRight w:val="0"/>
      <w:marTop w:val="0"/>
      <w:marBottom w:val="0"/>
      <w:divBdr>
        <w:top w:val="none" w:sz="0" w:space="0" w:color="auto"/>
        <w:left w:val="none" w:sz="0" w:space="0" w:color="auto"/>
        <w:bottom w:val="none" w:sz="0" w:space="0" w:color="auto"/>
        <w:right w:val="none" w:sz="0" w:space="0" w:color="auto"/>
      </w:divBdr>
    </w:div>
    <w:div w:id="1046023727">
      <w:bodyDiv w:val="1"/>
      <w:marLeft w:val="0"/>
      <w:marRight w:val="0"/>
      <w:marTop w:val="0"/>
      <w:marBottom w:val="0"/>
      <w:divBdr>
        <w:top w:val="none" w:sz="0" w:space="0" w:color="auto"/>
        <w:left w:val="none" w:sz="0" w:space="0" w:color="auto"/>
        <w:bottom w:val="none" w:sz="0" w:space="0" w:color="auto"/>
        <w:right w:val="none" w:sz="0" w:space="0" w:color="auto"/>
      </w:divBdr>
    </w:div>
    <w:div w:id="1077551648">
      <w:bodyDiv w:val="1"/>
      <w:marLeft w:val="0"/>
      <w:marRight w:val="0"/>
      <w:marTop w:val="0"/>
      <w:marBottom w:val="0"/>
      <w:divBdr>
        <w:top w:val="none" w:sz="0" w:space="0" w:color="auto"/>
        <w:left w:val="none" w:sz="0" w:space="0" w:color="auto"/>
        <w:bottom w:val="none" w:sz="0" w:space="0" w:color="auto"/>
        <w:right w:val="none" w:sz="0" w:space="0" w:color="auto"/>
      </w:divBdr>
    </w:div>
    <w:div w:id="1216240393">
      <w:bodyDiv w:val="1"/>
      <w:marLeft w:val="0"/>
      <w:marRight w:val="0"/>
      <w:marTop w:val="0"/>
      <w:marBottom w:val="0"/>
      <w:divBdr>
        <w:top w:val="none" w:sz="0" w:space="0" w:color="auto"/>
        <w:left w:val="none" w:sz="0" w:space="0" w:color="auto"/>
        <w:bottom w:val="none" w:sz="0" w:space="0" w:color="auto"/>
        <w:right w:val="none" w:sz="0" w:space="0" w:color="auto"/>
      </w:divBdr>
    </w:div>
    <w:div w:id="1315521919">
      <w:bodyDiv w:val="1"/>
      <w:marLeft w:val="0"/>
      <w:marRight w:val="0"/>
      <w:marTop w:val="0"/>
      <w:marBottom w:val="0"/>
      <w:divBdr>
        <w:top w:val="none" w:sz="0" w:space="0" w:color="auto"/>
        <w:left w:val="none" w:sz="0" w:space="0" w:color="auto"/>
        <w:bottom w:val="none" w:sz="0" w:space="0" w:color="auto"/>
        <w:right w:val="none" w:sz="0" w:space="0" w:color="auto"/>
      </w:divBdr>
    </w:div>
    <w:div w:id="1378043450">
      <w:bodyDiv w:val="1"/>
      <w:marLeft w:val="0"/>
      <w:marRight w:val="0"/>
      <w:marTop w:val="0"/>
      <w:marBottom w:val="0"/>
      <w:divBdr>
        <w:top w:val="none" w:sz="0" w:space="0" w:color="auto"/>
        <w:left w:val="none" w:sz="0" w:space="0" w:color="auto"/>
        <w:bottom w:val="none" w:sz="0" w:space="0" w:color="auto"/>
        <w:right w:val="none" w:sz="0" w:space="0" w:color="auto"/>
      </w:divBdr>
    </w:div>
    <w:div w:id="1420296294">
      <w:bodyDiv w:val="1"/>
      <w:marLeft w:val="0"/>
      <w:marRight w:val="0"/>
      <w:marTop w:val="0"/>
      <w:marBottom w:val="0"/>
      <w:divBdr>
        <w:top w:val="none" w:sz="0" w:space="0" w:color="auto"/>
        <w:left w:val="none" w:sz="0" w:space="0" w:color="auto"/>
        <w:bottom w:val="none" w:sz="0" w:space="0" w:color="auto"/>
        <w:right w:val="none" w:sz="0" w:space="0" w:color="auto"/>
      </w:divBdr>
    </w:div>
    <w:div w:id="1528521330">
      <w:bodyDiv w:val="1"/>
      <w:marLeft w:val="0"/>
      <w:marRight w:val="0"/>
      <w:marTop w:val="0"/>
      <w:marBottom w:val="0"/>
      <w:divBdr>
        <w:top w:val="none" w:sz="0" w:space="0" w:color="auto"/>
        <w:left w:val="none" w:sz="0" w:space="0" w:color="auto"/>
        <w:bottom w:val="none" w:sz="0" w:space="0" w:color="auto"/>
        <w:right w:val="none" w:sz="0" w:space="0" w:color="auto"/>
      </w:divBdr>
    </w:div>
    <w:div w:id="1603688533">
      <w:bodyDiv w:val="1"/>
      <w:marLeft w:val="0"/>
      <w:marRight w:val="0"/>
      <w:marTop w:val="0"/>
      <w:marBottom w:val="0"/>
      <w:divBdr>
        <w:top w:val="none" w:sz="0" w:space="0" w:color="auto"/>
        <w:left w:val="none" w:sz="0" w:space="0" w:color="auto"/>
        <w:bottom w:val="none" w:sz="0" w:space="0" w:color="auto"/>
        <w:right w:val="none" w:sz="0" w:space="0" w:color="auto"/>
      </w:divBdr>
    </w:div>
    <w:div w:id="1648392187">
      <w:bodyDiv w:val="1"/>
      <w:marLeft w:val="0"/>
      <w:marRight w:val="0"/>
      <w:marTop w:val="0"/>
      <w:marBottom w:val="0"/>
      <w:divBdr>
        <w:top w:val="none" w:sz="0" w:space="0" w:color="auto"/>
        <w:left w:val="none" w:sz="0" w:space="0" w:color="auto"/>
        <w:bottom w:val="none" w:sz="0" w:space="0" w:color="auto"/>
        <w:right w:val="none" w:sz="0" w:space="0" w:color="auto"/>
      </w:divBdr>
    </w:div>
    <w:div w:id="1652706965">
      <w:bodyDiv w:val="1"/>
      <w:marLeft w:val="0"/>
      <w:marRight w:val="0"/>
      <w:marTop w:val="0"/>
      <w:marBottom w:val="0"/>
      <w:divBdr>
        <w:top w:val="none" w:sz="0" w:space="0" w:color="auto"/>
        <w:left w:val="none" w:sz="0" w:space="0" w:color="auto"/>
        <w:bottom w:val="none" w:sz="0" w:space="0" w:color="auto"/>
        <w:right w:val="none" w:sz="0" w:space="0" w:color="auto"/>
      </w:divBdr>
    </w:div>
    <w:div w:id="1717856086">
      <w:bodyDiv w:val="1"/>
      <w:marLeft w:val="0"/>
      <w:marRight w:val="0"/>
      <w:marTop w:val="0"/>
      <w:marBottom w:val="0"/>
      <w:divBdr>
        <w:top w:val="none" w:sz="0" w:space="0" w:color="auto"/>
        <w:left w:val="none" w:sz="0" w:space="0" w:color="auto"/>
        <w:bottom w:val="none" w:sz="0" w:space="0" w:color="auto"/>
        <w:right w:val="none" w:sz="0" w:space="0" w:color="auto"/>
      </w:divBdr>
    </w:div>
    <w:div w:id="1785882840">
      <w:bodyDiv w:val="1"/>
      <w:marLeft w:val="0"/>
      <w:marRight w:val="0"/>
      <w:marTop w:val="0"/>
      <w:marBottom w:val="0"/>
      <w:divBdr>
        <w:top w:val="none" w:sz="0" w:space="0" w:color="auto"/>
        <w:left w:val="none" w:sz="0" w:space="0" w:color="auto"/>
        <w:bottom w:val="none" w:sz="0" w:space="0" w:color="auto"/>
        <w:right w:val="none" w:sz="0" w:space="0" w:color="auto"/>
      </w:divBdr>
    </w:div>
    <w:div w:id="2108384486">
      <w:bodyDiv w:val="1"/>
      <w:marLeft w:val="0"/>
      <w:marRight w:val="0"/>
      <w:marTop w:val="0"/>
      <w:marBottom w:val="0"/>
      <w:divBdr>
        <w:top w:val="none" w:sz="0" w:space="0" w:color="auto"/>
        <w:left w:val="none" w:sz="0" w:space="0" w:color="auto"/>
        <w:bottom w:val="none" w:sz="0" w:space="0" w:color="auto"/>
        <w:right w:val="none" w:sz="0" w:space="0" w:color="auto"/>
      </w:divBdr>
    </w:div>
    <w:div w:id="2114863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uu.com/britcham01/docs/bihk_2021_mar_apr-web/s/11940781" TargetMode="External"/><Relationship Id="rId13" Type="http://schemas.openxmlformats.org/officeDocument/2006/relationships/hyperlink" Target="https://chinalawinfo.ru/economic_law/law_enterprise_bankruptcy" TargetMode="External"/><Relationship Id="rId18" Type="http://schemas.openxmlformats.org/officeDocument/2006/relationships/hyperlink" Target="mailto:minina@m,msu.by" TargetMode="External"/><Relationship Id="rId26" Type="http://schemas.openxmlformats.org/officeDocument/2006/relationships/hyperlink" Target="http://gosspisok.gov.by/(X(1)S(sym4siqkg5kvsfxgdrt0dhbi))/Home/Index?AspxAutoDetectCookieSupport=1" TargetMode="External"/><Relationship Id="rId3" Type="http://schemas.openxmlformats.org/officeDocument/2006/relationships/settings" Target="settings.xml"/><Relationship Id="rId21" Type="http://schemas.openxmlformats.org/officeDocument/2006/relationships/hyperlink" Target="https://adu.by/images/2022/08/up-doshk-obrazov-rus-bel.pdf?ysclid=mle2om776323560580" TargetMode="External"/><Relationship Id="rId34" Type="http://schemas.openxmlformats.org/officeDocument/2006/relationships/hyperlink" Target="https://www.un.org/ru/observances/sustainable-transport-day" TargetMode="External"/><Relationship Id="rId7" Type="http://schemas.openxmlformats.org/officeDocument/2006/relationships/image" Target="media/image1.png"/><Relationship Id="rId12" Type="http://schemas.openxmlformats.org/officeDocument/2006/relationships/hyperlink" Target="https://www.court.gov.cn/zixun/xiangqing/147292.html" TargetMode="External"/><Relationship Id="rId17" Type="http://schemas.openxmlformats.org/officeDocument/2006/relationships/hyperlink" Target="https://bii.by/docs/zashchita-personalnykh-dannykh-712063" TargetMode="External"/><Relationship Id="rId25" Type="http://schemas.openxmlformats.org/officeDocument/2006/relationships/hyperlink" Target="mailto:tkachyova_mv@m.msu.by" TargetMode="External"/><Relationship Id="rId33" Type="http://schemas.openxmlformats.org/officeDocument/2006/relationships/hyperlink" Target="https://urbanaccessregulations.eu/countries-mainmenu-147"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m17rch@mail.ru" TargetMode="External"/><Relationship Id="rId20" Type="http://schemas.openxmlformats.org/officeDocument/2006/relationships/hyperlink" Target="mailto:elizavetakichigina78@gmail.com" TargetMode="External"/><Relationship Id="rId29" Type="http://schemas.openxmlformats.org/officeDocument/2006/relationships/hyperlink" Target="mailto:hovratova@m.msu.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oks.yandex.ru/books/AlsehTfK" TargetMode="External"/><Relationship Id="rId24" Type="http://schemas.openxmlformats.org/officeDocument/2006/relationships/hyperlink" Target="mailto:ya.taganov1985@yandex.ru" TargetMode="External"/><Relationship Id="rId32" Type="http://schemas.openxmlformats.org/officeDocument/2006/relationships/hyperlink" Target="https://www.tkbaltika.ru/blog/ekologicheskie-evrostandarty-topliva/"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maleev.nicolas@yandex.by" TargetMode="External"/><Relationship Id="rId23" Type="http://schemas.openxmlformats.org/officeDocument/2006/relationships/hyperlink" Target="mailto:radchenko.s.a.tula@mail.ru" TargetMode="External"/><Relationship Id="rId28" Type="http://schemas.openxmlformats.org/officeDocument/2006/relationships/hyperlink" Target="mailto:Janna-vlad@mail.ru" TargetMode="External"/><Relationship Id="rId36" Type="http://schemas.openxmlformats.org/officeDocument/2006/relationships/hyperlink" Target="mailto:veronikatcherniakova@yandex.by" TargetMode="External"/><Relationship Id="rId10" Type="http://schemas.openxmlformats.org/officeDocument/2006/relationships/hyperlink" Target="mailto:koren@m.msu.by" TargetMode="External"/><Relationship Id="rId19" Type="http://schemas.openxmlformats.org/officeDocument/2006/relationships/hyperlink" Target="mailto:mozharova@m.msu.by" TargetMode="External"/><Relationship Id="rId31" Type="http://schemas.openxmlformats.org/officeDocument/2006/relationships/hyperlink" Target="https://commission.europa.eu/strategy-and-policy/priorities-2019-2024/european-green-deal_en" TargetMode="External"/><Relationship Id="rId4" Type="http://schemas.openxmlformats.org/officeDocument/2006/relationships/webSettings" Target="webSettings.xml"/><Relationship Id="rId9" Type="http://schemas.openxmlformats.org/officeDocument/2006/relationships/hyperlink" Target="https://innosfera.belnauka.by/jour/article/viewFile/862/796" TargetMode="External"/><Relationship Id="rId14" Type="http://schemas.openxmlformats.org/officeDocument/2006/relationships/hyperlink" Target="https://english.court.gov.cn/2026-03/18/c_1169365.htm" TargetMode="External"/><Relationship Id="rId22" Type="http://schemas.openxmlformats.org/officeDocument/2006/relationships/hyperlink" Target="https://rospatent.gov.ru/ru/docs/interdocs/conv_WIPO" TargetMode="External"/><Relationship Id="rId27" Type="http://schemas.openxmlformats.org/officeDocument/2006/relationships/hyperlink" Target="https://www.sb.by/articles/skaz-o-tom-kak-ischezli-shklov-s-zamkom-i-kak-uchenye-iskali-ikh.html" TargetMode="External"/><Relationship Id="rId30" Type="http://schemas.openxmlformats.org/officeDocument/2006/relationships/hyperlink" Target="https://www.un.org/ru/climatechange/paris-agreement" TargetMode="External"/><Relationship Id="rId35" Type="http://schemas.openxmlformats.org/officeDocument/2006/relationships/hyperlink" Target="https://shop.belgiss.by/ru/gosudarstvennye-standarty/stb-iso-31000-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99</Pages>
  <Words>36510</Words>
  <Characters>208113</Characters>
  <Application>Microsoft Office Word</Application>
  <DocSecurity>0</DocSecurity>
  <Lines>1734</Lines>
  <Paragraphs>488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Balda</dc:creator>
  <cp:lastModifiedBy>DNA7 X64</cp:lastModifiedBy>
  <cp:revision>20</cp:revision>
  <dcterms:created xsi:type="dcterms:W3CDTF">2026-04-28T13:35:00Z</dcterms:created>
  <dcterms:modified xsi:type="dcterms:W3CDTF">2026-06-01T10:42:00Z</dcterms:modified>
</cp:coreProperties>
</file>