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31B" w:rsidRDefault="0076058D">
      <w:pPr>
        <w:spacing w:after="19" w:line="276" w:lineRule="auto"/>
        <w:ind w:left="10" w:right="255" w:hanging="10"/>
        <w:jc w:val="center"/>
        <w:rPr>
          <w:rFonts w:ascii="Times New Roman" w:hAnsi="Times New Roman" w:cs="Times New Roman"/>
          <w:b/>
          <w:sz w:val="32"/>
          <w:szCs w:val="32"/>
        </w:rPr>
      </w:pPr>
      <w:r>
        <w:rPr>
          <w:rFonts w:ascii="Times New Roman" w:hAnsi="Times New Roman" w:cs="Times New Roman"/>
          <w:b/>
          <w:sz w:val="32"/>
          <w:szCs w:val="32"/>
        </w:rPr>
        <w:t xml:space="preserve">ХV МЕЖДУНАРОДНАЯ НАУЧНО-ПРАКТИЧЕСКАЯ </w:t>
      </w:r>
    </w:p>
    <w:p w:rsidR="00F8531B" w:rsidRDefault="0076058D">
      <w:pPr>
        <w:spacing w:after="19" w:line="276" w:lineRule="auto"/>
        <w:ind w:left="10" w:right="255" w:hanging="10"/>
        <w:jc w:val="center"/>
        <w:rPr>
          <w:rFonts w:ascii="Times New Roman" w:hAnsi="Times New Roman" w:cs="Times New Roman"/>
          <w:b/>
          <w:sz w:val="32"/>
          <w:szCs w:val="32"/>
        </w:rPr>
      </w:pPr>
      <w:r>
        <w:rPr>
          <w:rFonts w:ascii="Times New Roman" w:hAnsi="Times New Roman" w:cs="Times New Roman"/>
          <w:b/>
          <w:sz w:val="32"/>
          <w:szCs w:val="32"/>
        </w:rPr>
        <w:t xml:space="preserve">ИНТЕРНЕТ-КОНФЕРЕНЦИЯ </w:t>
      </w:r>
    </w:p>
    <w:p w:rsidR="00F8531B" w:rsidRDefault="0076058D">
      <w:pPr>
        <w:spacing w:after="19" w:line="276" w:lineRule="auto"/>
        <w:ind w:left="10" w:right="255" w:hanging="10"/>
        <w:jc w:val="center"/>
        <w:rPr>
          <w:rFonts w:ascii="Times New Roman" w:hAnsi="Times New Roman" w:cs="Times New Roman"/>
          <w:sz w:val="32"/>
          <w:szCs w:val="32"/>
        </w:rPr>
      </w:pPr>
      <w:r>
        <w:rPr>
          <w:rFonts w:ascii="Times New Roman" w:hAnsi="Times New Roman" w:cs="Times New Roman"/>
          <w:sz w:val="32"/>
          <w:szCs w:val="32"/>
        </w:rPr>
        <w:t xml:space="preserve"> </w:t>
      </w:r>
    </w:p>
    <w:p w:rsidR="00F8531B" w:rsidRDefault="0076058D">
      <w:pPr>
        <w:spacing w:after="19" w:line="276" w:lineRule="auto"/>
        <w:ind w:left="10" w:right="125" w:hanging="10"/>
        <w:jc w:val="center"/>
        <w:rPr>
          <w:rFonts w:ascii="Times New Roman" w:hAnsi="Times New Roman" w:cs="Times New Roman"/>
          <w:b/>
          <w:sz w:val="32"/>
          <w:szCs w:val="32"/>
        </w:rPr>
      </w:pPr>
      <w:r>
        <w:rPr>
          <w:rFonts w:ascii="Times New Roman" w:hAnsi="Times New Roman" w:cs="Times New Roman"/>
          <w:b/>
          <w:sz w:val="32"/>
          <w:szCs w:val="32"/>
        </w:rPr>
        <w:t xml:space="preserve">ПРОБЛЕМЫ УСТОЙЧИВОГО РАЗВИТИЯ РЕГИОНОВ РЕСПУБЛИКИ БЕЛАРУСЬ </w:t>
      </w:r>
    </w:p>
    <w:p w:rsidR="00F8531B" w:rsidRDefault="0076058D">
      <w:pPr>
        <w:spacing w:after="19" w:line="276" w:lineRule="auto"/>
        <w:ind w:left="10" w:right="125" w:hanging="10"/>
        <w:jc w:val="center"/>
        <w:rPr>
          <w:rFonts w:ascii="Times New Roman" w:hAnsi="Times New Roman" w:cs="Times New Roman"/>
          <w:sz w:val="32"/>
          <w:szCs w:val="32"/>
        </w:rPr>
      </w:pPr>
      <w:r>
        <w:rPr>
          <w:rFonts w:ascii="Times New Roman" w:hAnsi="Times New Roman" w:cs="Times New Roman"/>
          <w:b/>
          <w:sz w:val="32"/>
          <w:szCs w:val="32"/>
        </w:rPr>
        <w:t xml:space="preserve">И СОПРЕДЕЛЬНЫХ СТРАН </w:t>
      </w:r>
    </w:p>
    <w:p w:rsidR="00F8531B" w:rsidRDefault="0076058D">
      <w:pPr>
        <w:ind w:right="146"/>
        <w:jc w:val="center"/>
        <w:rPr>
          <w:rFonts w:ascii="Times New Roman" w:hAnsi="Times New Roman" w:cs="Times New Roman"/>
          <w:b/>
          <w:sz w:val="32"/>
          <w:szCs w:val="32"/>
        </w:rPr>
      </w:pPr>
      <w:r>
        <w:rPr>
          <w:rFonts w:ascii="Times New Roman" w:hAnsi="Times New Roman" w:cs="Times New Roman"/>
          <w:b/>
        </w:rPr>
        <w:t xml:space="preserve"> </w:t>
      </w:r>
    </w:p>
    <w:p w:rsidR="00F8531B" w:rsidRDefault="0076058D">
      <w:pPr>
        <w:spacing w:before="3000"/>
        <w:ind w:firstLine="709"/>
        <w:jc w:val="center"/>
        <w:rPr>
          <w:rFonts w:ascii="Times New Roman" w:hAnsi="Times New Roman" w:cs="Times New Roman"/>
          <w:b/>
          <w:i/>
          <w:sz w:val="36"/>
          <w:szCs w:val="36"/>
        </w:rPr>
      </w:pPr>
      <w:r>
        <w:rPr>
          <w:rFonts w:ascii="Times New Roman" w:hAnsi="Times New Roman" w:cs="Times New Roman"/>
          <w:b/>
          <w:i/>
          <w:sz w:val="36"/>
          <w:szCs w:val="36"/>
        </w:rPr>
        <w:t>Секция 2</w:t>
      </w:r>
    </w:p>
    <w:p w:rsidR="00F8531B" w:rsidRDefault="0076058D">
      <w:pPr>
        <w:spacing w:after="5040"/>
        <w:ind w:firstLine="709"/>
        <w:jc w:val="center"/>
        <w:rPr>
          <w:rFonts w:ascii="Times New Roman" w:eastAsia="Arial" w:hAnsi="Times New Roman" w:cs="Times New Roman"/>
          <w:b/>
          <w:sz w:val="32"/>
          <w:szCs w:val="32"/>
        </w:rPr>
      </w:pPr>
      <w:r>
        <w:rPr>
          <w:rFonts w:ascii="Times New Roman" w:hAnsi="Times New Roman" w:cs="Times New Roman"/>
          <w:b/>
          <w:sz w:val="32"/>
          <w:szCs w:val="32"/>
        </w:rPr>
        <w:t>ЕСТЕСТВЕННОНАУЧНЫЕ АСПЕКТЫ И ЦИФРОВЫЕ ТЕХНОЛОГИИ ДЛЯ УСТОЙЧИВОГО РАЗВИТИЯ</w:t>
      </w:r>
    </w:p>
    <w:p w:rsidR="00F8531B" w:rsidRDefault="0076058D">
      <w:pPr>
        <w:jc w:val="center"/>
        <w:rPr>
          <w:rFonts w:ascii="Times New Roman" w:hAnsi="Times New Roman" w:cs="Times New Roman"/>
          <w:b/>
          <w:sz w:val="32"/>
          <w:szCs w:val="32"/>
        </w:rPr>
      </w:pPr>
      <w:r>
        <w:rPr>
          <w:rFonts w:ascii="Times New Roman" w:hAnsi="Times New Roman" w:cs="Times New Roman"/>
          <w:b/>
          <w:sz w:val="32"/>
          <w:szCs w:val="32"/>
        </w:rPr>
        <w:t xml:space="preserve">1 июня - 30 июня 2026 года </w:t>
      </w:r>
      <w:r>
        <w:rPr>
          <w:rFonts w:ascii="Times New Roman" w:hAnsi="Times New Roman" w:cs="Times New Roman"/>
          <w:b/>
          <w:sz w:val="32"/>
          <w:szCs w:val="32"/>
        </w:rPr>
        <w:br w:type="page"/>
      </w:r>
    </w:p>
    <w:p w:rsidR="00F8531B" w:rsidRDefault="0076058D">
      <w:pPr>
        <w:rPr>
          <w:rFonts w:ascii="Times New Roman" w:hAnsi="Times New Roman" w:cs="Times New Roman"/>
          <w:iCs/>
          <w:sz w:val="28"/>
          <w:szCs w:val="28"/>
        </w:rPr>
      </w:pPr>
      <w:r>
        <w:rPr>
          <w:rFonts w:ascii="Times New Roman" w:hAnsi="Times New Roman" w:cs="Times New Roman"/>
          <w:iCs/>
          <w:sz w:val="28"/>
          <w:szCs w:val="28"/>
        </w:rPr>
        <w:lastRenderedPageBreak/>
        <w:t>УДК 378.016:54</w:t>
      </w:r>
    </w:p>
    <w:p w:rsidR="00F8531B" w:rsidRDefault="0076058D" w:rsidP="005465C3">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СОВРЕМЕННЫЕ ВОЗМОЖНОСТИ БОЛЬШИХ ЯЗЫКОВЫХ МОДЕЛЕЙ В ПРЕПОДАВАНИИ ХИМИИ</w:t>
      </w:r>
    </w:p>
    <w:p w:rsidR="00F8531B" w:rsidRDefault="00F8531B" w:rsidP="005465C3">
      <w:pPr>
        <w:spacing w:after="0" w:line="240" w:lineRule="auto"/>
        <w:ind w:firstLine="709"/>
        <w:jc w:val="center"/>
        <w:rPr>
          <w:rFonts w:ascii="Times New Roman" w:hAnsi="Times New Roman" w:cs="Times New Roman"/>
          <w:b/>
          <w:bCs/>
          <w:sz w:val="28"/>
          <w:szCs w:val="28"/>
        </w:rPr>
      </w:pPr>
    </w:p>
    <w:p w:rsidR="00F8531B" w:rsidRDefault="0076058D" w:rsidP="005465C3">
      <w:pPr>
        <w:spacing w:after="0" w:line="240" w:lineRule="auto"/>
        <w:ind w:firstLine="709"/>
        <w:jc w:val="center"/>
        <w:rPr>
          <w:rFonts w:ascii="Times New Roman" w:hAnsi="Times New Roman" w:cs="Times New Roman"/>
          <w:b/>
          <w:iCs/>
          <w:sz w:val="28"/>
          <w:szCs w:val="28"/>
        </w:rPr>
      </w:pPr>
      <w:r>
        <w:rPr>
          <w:rFonts w:ascii="Times New Roman" w:hAnsi="Times New Roman" w:cs="Times New Roman"/>
          <w:b/>
          <w:sz w:val="28"/>
          <w:szCs w:val="28"/>
        </w:rPr>
        <w:t>Анищенко</w:t>
      </w:r>
      <w:r>
        <w:rPr>
          <w:rFonts w:ascii="Times New Roman" w:hAnsi="Times New Roman" w:cs="Times New Roman"/>
          <w:b/>
          <w:iCs/>
          <w:sz w:val="28"/>
          <w:szCs w:val="28"/>
        </w:rPr>
        <w:t xml:space="preserve"> Анастасия Сергеевна</w:t>
      </w:r>
    </w:p>
    <w:p w:rsidR="00F8531B" w:rsidRDefault="0076058D" w:rsidP="005465C3">
      <w:pPr>
        <w:spacing w:after="0" w:line="24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 xml:space="preserve">учитель биологии и химии </w:t>
      </w:r>
      <w:r>
        <w:rPr>
          <w:rFonts w:ascii="Times New Roman" w:hAnsi="Times New Roman" w:cs="Times New Roman"/>
          <w:iCs/>
          <w:sz w:val="28"/>
          <w:szCs w:val="28"/>
        </w:rPr>
        <w:br/>
        <w:t xml:space="preserve">государственного учреждения образования </w:t>
      </w:r>
    </w:p>
    <w:p w:rsidR="00F8531B" w:rsidRDefault="0076058D" w:rsidP="005465C3">
      <w:pPr>
        <w:spacing w:after="0" w:line="24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«Средняя школа №33 г. Могилева»</w:t>
      </w:r>
    </w:p>
    <w:p w:rsidR="00F8531B" w:rsidRDefault="0076058D" w:rsidP="005465C3">
      <w:pPr>
        <w:spacing w:after="0" w:line="240" w:lineRule="auto"/>
        <w:ind w:firstLine="709"/>
        <w:jc w:val="center"/>
        <w:rPr>
          <w:rFonts w:ascii="Times New Roman" w:hAnsi="Times New Roman" w:cs="Times New Roman"/>
          <w:b/>
          <w:iCs/>
          <w:sz w:val="28"/>
          <w:szCs w:val="28"/>
        </w:rPr>
      </w:pPr>
      <w:r>
        <w:rPr>
          <w:rFonts w:ascii="Times New Roman" w:hAnsi="Times New Roman" w:cs="Times New Roman"/>
          <w:iCs/>
          <w:sz w:val="28"/>
          <w:szCs w:val="28"/>
        </w:rPr>
        <w:t xml:space="preserve"> (г. Могилев, Беларусь)</w:t>
      </w:r>
    </w:p>
    <w:p w:rsidR="00F8531B" w:rsidRDefault="0076058D" w:rsidP="005465C3">
      <w:pPr>
        <w:spacing w:after="0" w:line="240" w:lineRule="auto"/>
        <w:ind w:firstLine="709"/>
        <w:jc w:val="center"/>
        <w:rPr>
          <w:rFonts w:ascii="Times New Roman" w:eastAsia="Times New Roman" w:hAnsi="Times New Roman" w:cs="Times New Roman"/>
          <w:sz w:val="24"/>
          <w:szCs w:val="24"/>
        </w:rPr>
      </w:pPr>
      <w:r>
        <w:rPr>
          <w:rFonts w:ascii="Times New Roman" w:hAnsi="Times New Roman" w:cs="Times New Roman"/>
          <w:iCs/>
          <w:sz w:val="28"/>
          <w:szCs w:val="28"/>
        </w:rPr>
        <w:t>anastasiya.anish@yandex.by</w:t>
      </w:r>
    </w:p>
    <w:p w:rsidR="00F8531B" w:rsidRDefault="0076058D" w:rsidP="005465C3">
      <w:pPr>
        <w:spacing w:after="0" w:line="240" w:lineRule="auto"/>
        <w:ind w:firstLine="709"/>
        <w:jc w:val="center"/>
        <w:rPr>
          <w:rFonts w:ascii="Times New Roman" w:hAnsi="Times New Roman" w:cs="Times New Roman"/>
          <w:b/>
          <w:iCs/>
          <w:sz w:val="28"/>
          <w:szCs w:val="28"/>
        </w:rPr>
      </w:pPr>
      <w:r>
        <w:rPr>
          <w:rFonts w:ascii="Times New Roman" w:hAnsi="Times New Roman" w:cs="Times New Roman"/>
          <w:b/>
          <w:iCs/>
          <w:sz w:val="28"/>
          <w:szCs w:val="28"/>
        </w:rPr>
        <w:t xml:space="preserve">Клебанова Наталья Александровна </w:t>
      </w:r>
    </w:p>
    <w:p w:rsidR="00F8531B" w:rsidRDefault="0076058D" w:rsidP="005465C3">
      <w:pPr>
        <w:spacing w:after="0" w:line="24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доцент кафедры естествознания</w:t>
      </w:r>
    </w:p>
    <w:p w:rsidR="00F8531B" w:rsidRDefault="0076058D" w:rsidP="005465C3">
      <w:pPr>
        <w:spacing w:after="0" w:line="24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 xml:space="preserve"> учреждения образования «Могилёвский государственный университет имени А.А. Кулешова»; кандидат химических наук, доцент</w:t>
      </w:r>
    </w:p>
    <w:p w:rsidR="00F8531B" w:rsidRDefault="0076058D" w:rsidP="005465C3">
      <w:pPr>
        <w:spacing w:after="0" w:line="240" w:lineRule="auto"/>
        <w:ind w:firstLine="709"/>
        <w:jc w:val="center"/>
        <w:rPr>
          <w:rFonts w:ascii="Times New Roman" w:hAnsi="Times New Roman" w:cs="Times New Roman"/>
          <w:b/>
          <w:iCs/>
          <w:sz w:val="28"/>
          <w:szCs w:val="28"/>
        </w:rPr>
      </w:pPr>
      <w:r>
        <w:rPr>
          <w:rFonts w:ascii="Times New Roman" w:hAnsi="Times New Roman" w:cs="Times New Roman"/>
          <w:iCs/>
          <w:sz w:val="28"/>
          <w:szCs w:val="28"/>
        </w:rPr>
        <w:t>(г. Могилев, Беларусь)</w:t>
      </w:r>
    </w:p>
    <w:p w:rsidR="00F8531B" w:rsidRDefault="006266D1" w:rsidP="005465C3">
      <w:pPr>
        <w:spacing w:after="0" w:line="240" w:lineRule="auto"/>
        <w:ind w:firstLine="709"/>
        <w:jc w:val="center"/>
        <w:rPr>
          <w:rFonts w:ascii="Times New Roman" w:hAnsi="Times New Roman" w:cs="Times New Roman"/>
          <w:iCs/>
          <w:sz w:val="28"/>
          <w:szCs w:val="28"/>
        </w:rPr>
      </w:pPr>
      <w:hyperlink r:id="rId7" w:history="1">
        <w:r w:rsidR="0076058D">
          <w:rPr>
            <w:rFonts w:ascii="Times New Roman" w:hAnsi="Times New Roman" w:cs="Times New Roman"/>
            <w:iCs/>
            <w:sz w:val="28"/>
            <w:szCs w:val="28"/>
          </w:rPr>
          <w:t>klebanova@</w:t>
        </w:r>
        <w:r w:rsidR="0076058D">
          <w:rPr>
            <w:rFonts w:ascii="Times New Roman" w:hAnsi="Times New Roman" w:cs="Times New Roman"/>
            <w:sz w:val="28"/>
            <w:szCs w:val="28"/>
          </w:rPr>
          <w:t>m.</w:t>
        </w:r>
        <w:r w:rsidR="0076058D">
          <w:rPr>
            <w:rFonts w:ascii="Times New Roman" w:hAnsi="Times New Roman" w:cs="Times New Roman"/>
            <w:iCs/>
            <w:sz w:val="28"/>
            <w:szCs w:val="28"/>
          </w:rPr>
          <w:t>msu.by</w:t>
        </w:r>
      </w:hyperlink>
    </w:p>
    <w:p w:rsidR="00F8531B" w:rsidRDefault="0076058D" w:rsidP="005465C3">
      <w:pPr>
        <w:spacing w:after="0" w:line="240" w:lineRule="auto"/>
        <w:ind w:firstLine="709"/>
        <w:jc w:val="center"/>
        <w:rPr>
          <w:rFonts w:ascii="Times New Roman" w:hAnsi="Times New Roman" w:cs="Times New Roman"/>
          <w:b/>
          <w:iCs/>
          <w:sz w:val="28"/>
          <w:szCs w:val="28"/>
        </w:rPr>
      </w:pPr>
      <w:r>
        <w:rPr>
          <w:rFonts w:ascii="Times New Roman" w:hAnsi="Times New Roman" w:cs="Times New Roman"/>
          <w:b/>
          <w:iCs/>
          <w:sz w:val="28"/>
          <w:szCs w:val="28"/>
        </w:rPr>
        <w:t xml:space="preserve">Клебанов Александр Владимирович </w:t>
      </w:r>
    </w:p>
    <w:p w:rsidR="00F8531B" w:rsidRDefault="0076058D" w:rsidP="005465C3">
      <w:pPr>
        <w:spacing w:after="0" w:line="24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 xml:space="preserve">доцент кафедры естествознания </w:t>
      </w:r>
    </w:p>
    <w:p w:rsidR="00F8531B" w:rsidRDefault="0076058D" w:rsidP="005465C3">
      <w:pPr>
        <w:spacing w:after="0" w:line="24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учреждения образования «Могилёвский государственный университет имени А.А. Кулешова»; кандидат химических наук, доцент</w:t>
      </w:r>
    </w:p>
    <w:p w:rsidR="00F8531B" w:rsidRDefault="0076058D" w:rsidP="005465C3">
      <w:pPr>
        <w:spacing w:after="0" w:line="24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(г. Могилев, Беларусь)</w:t>
      </w:r>
    </w:p>
    <w:p w:rsidR="00F8531B" w:rsidRDefault="0076058D" w:rsidP="005465C3">
      <w:pPr>
        <w:spacing w:after="0" w:line="240" w:lineRule="auto"/>
        <w:ind w:firstLine="709"/>
        <w:jc w:val="center"/>
        <w:rPr>
          <w:rFonts w:ascii="Times New Roman" w:hAnsi="Times New Roman" w:cs="Times New Roman"/>
          <w:iCs/>
          <w:sz w:val="28"/>
          <w:szCs w:val="28"/>
        </w:rPr>
      </w:pPr>
      <w:r>
        <w:rPr>
          <w:rFonts w:ascii="Times New Roman" w:hAnsi="Times New Roman" w:cs="Times New Roman"/>
          <w:iCs/>
          <w:sz w:val="28"/>
          <w:szCs w:val="28"/>
        </w:rPr>
        <w:t>klebanov@m.msu.by</w:t>
      </w:r>
    </w:p>
    <w:p w:rsidR="00F8531B" w:rsidRDefault="00F8531B" w:rsidP="005465C3">
      <w:pPr>
        <w:spacing w:after="0" w:line="240" w:lineRule="auto"/>
        <w:ind w:firstLine="709"/>
        <w:jc w:val="center"/>
        <w:rPr>
          <w:rFonts w:ascii="Times New Roman" w:hAnsi="Times New Roman" w:cs="Times New Roman"/>
          <w:sz w:val="28"/>
          <w:szCs w:val="28"/>
        </w:rPr>
      </w:pP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Аннотация.</w:t>
      </w:r>
      <w:r>
        <w:rPr>
          <w:rFonts w:ascii="Times New Roman" w:hAnsi="Times New Roman" w:cs="Times New Roman"/>
          <w:sz w:val="24"/>
          <w:szCs w:val="24"/>
        </w:rPr>
        <w:t xml:space="preserve"> В статье рассматриваются основные возможности применения больших языковых моделей при преподавании химии. Показаны возможности и ограничения моделей при составлении развернутых план-конспектов занятий, составлении самостоятельных и проверочных работ, генерации тем докладов и проектов, составлении заданий на развитие функциональной грамотности учащихся, а также при подготовке к олимпиадам.</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Ключевые слова.</w:t>
      </w:r>
      <w:r>
        <w:rPr>
          <w:rFonts w:ascii="Times New Roman" w:hAnsi="Times New Roman" w:cs="Times New Roman"/>
          <w:sz w:val="24"/>
          <w:szCs w:val="24"/>
        </w:rPr>
        <w:t xml:space="preserve"> Большие языковые модели, химия, генерация, алгоритмы, искусственный интеллект.</w:t>
      </w:r>
    </w:p>
    <w:p w:rsidR="00F8531B" w:rsidRDefault="00F8531B" w:rsidP="005465C3">
      <w:pPr>
        <w:spacing w:after="0" w:line="240" w:lineRule="auto"/>
        <w:ind w:firstLineChars="253" w:firstLine="708"/>
        <w:jc w:val="both"/>
        <w:rPr>
          <w:rFonts w:ascii="Times New Roman" w:hAnsi="Times New Roman" w:cs="Times New Roman"/>
          <w:sz w:val="28"/>
          <w:szCs w:val="28"/>
        </w:rPr>
      </w:pPr>
    </w:p>
    <w:p w:rsidR="00F8531B" w:rsidRDefault="0076058D" w:rsidP="005465C3">
      <w:pPr>
        <w:spacing w:after="0" w:line="240" w:lineRule="auto"/>
        <w:ind w:firstLineChars="253" w:firstLine="708"/>
        <w:jc w:val="both"/>
        <w:rPr>
          <w:rFonts w:ascii="Times New Roman" w:hAnsi="Times New Roman" w:cs="Times New Roman"/>
          <w:sz w:val="28"/>
          <w:szCs w:val="28"/>
        </w:rPr>
      </w:pPr>
      <w:r>
        <w:rPr>
          <w:rFonts w:ascii="Times New Roman" w:hAnsi="Times New Roman" w:cs="Times New Roman"/>
          <w:sz w:val="28"/>
          <w:szCs w:val="28"/>
        </w:rPr>
        <w:t>В последние годы внимание исследователей и педагогов привлекает использование больших языковых моделей в образовании. Непрерывное совершенствование алгоритмов работы языковых моделей способствует расширению возможностей внедрения инструментов искусственного интеллекта в образовательном процессе. Однако, педагогическая практика внедрения нуждается в постоянной сравнительной оценке возможностей и ограничений, позволяющей определить границы применимости искусственного интеллекта и дать рекомендации участникам образовательного процесса.</w:t>
      </w:r>
    </w:p>
    <w:p w:rsidR="00F8531B" w:rsidRDefault="0076058D" w:rsidP="005465C3">
      <w:pPr>
        <w:spacing w:after="0" w:line="240" w:lineRule="auto"/>
        <w:ind w:firstLineChars="253" w:firstLine="708"/>
        <w:jc w:val="both"/>
        <w:rPr>
          <w:rFonts w:ascii="Times New Roman" w:hAnsi="Times New Roman" w:cs="Times New Roman"/>
          <w:sz w:val="28"/>
          <w:szCs w:val="28"/>
        </w:rPr>
      </w:pPr>
      <w:r>
        <w:rPr>
          <w:rFonts w:ascii="Times New Roman" w:hAnsi="Times New Roman" w:cs="Times New Roman"/>
          <w:i/>
          <w:iCs/>
          <w:sz w:val="28"/>
          <w:szCs w:val="28"/>
        </w:rPr>
        <w:t>Цель работы</w:t>
      </w:r>
      <w:r>
        <w:rPr>
          <w:rFonts w:ascii="Times New Roman" w:hAnsi="Times New Roman" w:cs="Times New Roman"/>
          <w:sz w:val="28"/>
          <w:szCs w:val="28"/>
        </w:rPr>
        <w:t xml:space="preserve"> </w:t>
      </w:r>
      <w:r>
        <w:rPr>
          <w:rFonts w:ascii="Times New Roman" w:hAnsi="Times New Roman" w:cs="Times New Roman"/>
          <w:spacing w:val="-4"/>
          <w:sz w:val="28"/>
          <w:szCs w:val="28"/>
        </w:rPr>
        <w:t>–</w:t>
      </w:r>
      <w:r>
        <w:rPr>
          <w:rFonts w:ascii="Times New Roman" w:hAnsi="Times New Roman" w:cs="Times New Roman"/>
          <w:sz w:val="28"/>
          <w:szCs w:val="28"/>
        </w:rPr>
        <w:t xml:space="preserve"> обобщить возможности применения современных больших языковых моделей при преподавании химии.</w:t>
      </w:r>
    </w:p>
    <w:p w:rsidR="00F8531B" w:rsidRDefault="0076058D" w:rsidP="005465C3">
      <w:pPr>
        <w:spacing w:after="0" w:line="240" w:lineRule="auto"/>
        <w:ind w:firstLine="709"/>
        <w:jc w:val="both"/>
        <w:rPr>
          <w:rFonts w:ascii="Times New Roman" w:hAnsi="Times New Roman" w:cs="Times New Roman"/>
          <w:sz w:val="28"/>
          <w:szCs w:val="28"/>
        </w:rPr>
      </w:pPr>
      <w:r w:rsidRPr="003B51DE">
        <w:rPr>
          <w:rFonts w:ascii="Times New Roman" w:hAnsi="Times New Roman" w:cs="Times New Roman"/>
          <w:i/>
          <w:sz w:val="28"/>
          <w:szCs w:val="28"/>
        </w:rPr>
        <w:lastRenderedPageBreak/>
        <w:t>Составление развёрнутых планов-конспектов занятий.</w:t>
      </w:r>
      <w:r>
        <w:rPr>
          <w:rFonts w:ascii="Times New Roman" w:hAnsi="Times New Roman" w:cs="Times New Roman"/>
          <w:b/>
          <w:i/>
          <w:sz w:val="28"/>
          <w:szCs w:val="28"/>
        </w:rPr>
        <w:t xml:space="preserve"> </w:t>
      </w:r>
      <w:r>
        <w:rPr>
          <w:rFonts w:ascii="Times New Roman" w:hAnsi="Times New Roman" w:cs="Times New Roman"/>
          <w:sz w:val="28"/>
          <w:szCs w:val="28"/>
        </w:rPr>
        <w:t>Практика использования больших языковых моделей включает подготовку методических материалов к урокам, лекциям, практическим занятиям. Преподаватель передаёт системе информацию в виде текста параграфа из учебника или указывает тему и класс. В запросе формулируется требование разработать пошаговый конспект занятия исключительно на основе переданного материала. В техническое задание включаются дополнительные условия: наличие прямых реплик преподавателя, оформленных кавычками (имитация устной речи на занятии), и присутствие информационных вставок справочного, занимательного или практического характера с учетом специфики обучающихся (исторические факты, примеры из химической промышленности, бытовые аналогии). Результатом выполнения запроса становится подробная структура занятия, содержащая методические приёмы и элементы, направленные на повышение познавательного интереса учащихся.</w:t>
      </w:r>
    </w:p>
    <w:p w:rsidR="00F8531B" w:rsidRDefault="0076058D" w:rsidP="005465C3">
      <w:pPr>
        <w:spacing w:after="0" w:line="240" w:lineRule="auto"/>
        <w:ind w:firstLine="709"/>
        <w:jc w:val="both"/>
        <w:rPr>
          <w:rFonts w:ascii="Times New Roman" w:hAnsi="Times New Roman" w:cs="Times New Roman"/>
          <w:sz w:val="28"/>
          <w:szCs w:val="28"/>
        </w:rPr>
      </w:pPr>
      <w:r w:rsidRPr="003B51DE">
        <w:rPr>
          <w:rFonts w:ascii="Times New Roman" w:hAnsi="Times New Roman" w:cs="Times New Roman"/>
          <w:i/>
          <w:sz w:val="28"/>
          <w:szCs w:val="28"/>
        </w:rPr>
        <w:t>Создание самостоятельных и проверочных работ.</w:t>
      </w:r>
      <w:r>
        <w:rPr>
          <w:rFonts w:ascii="Times New Roman" w:hAnsi="Times New Roman" w:cs="Times New Roman"/>
          <w:b/>
          <w:i/>
          <w:sz w:val="28"/>
          <w:szCs w:val="28"/>
        </w:rPr>
        <w:t xml:space="preserve"> </w:t>
      </w:r>
      <w:r>
        <w:rPr>
          <w:rFonts w:ascii="Times New Roman" w:hAnsi="Times New Roman" w:cs="Times New Roman"/>
          <w:sz w:val="28"/>
          <w:szCs w:val="28"/>
        </w:rPr>
        <w:t>На основе текстов учебника или лекции по заданной теме формулируется запрос, в котором фиксируются следующие параметры: количество вариантов, типы заданий (тестовые задания с выбором ответа, задачи на расстановку коэффициентов, расчётные задачи на массовую долю или количество вещества), а также уровень сложности (базовый, повышенный, высокий). Система генерирует несколько вариантов работы с дифференциацией заданий внутри каждого варианта. По отдельному запросу могут быть предложены критерии оценивания в баллах. Такой подход обеспечивает потребность в проверочных материалах с различным уровнем подготовки и снижает вероятность списывания за счёт вариативности заданий.</w:t>
      </w:r>
    </w:p>
    <w:p w:rsidR="00F8531B" w:rsidRDefault="0076058D" w:rsidP="005465C3">
      <w:pPr>
        <w:spacing w:after="0" w:line="240" w:lineRule="auto"/>
        <w:ind w:firstLine="709"/>
        <w:jc w:val="both"/>
        <w:rPr>
          <w:rFonts w:ascii="Times New Roman" w:hAnsi="Times New Roman" w:cs="Times New Roman"/>
          <w:sz w:val="28"/>
          <w:szCs w:val="28"/>
        </w:rPr>
      </w:pPr>
      <w:r w:rsidRPr="003B51DE">
        <w:rPr>
          <w:rFonts w:ascii="Times New Roman" w:hAnsi="Times New Roman" w:cs="Times New Roman"/>
          <w:i/>
          <w:sz w:val="28"/>
          <w:szCs w:val="28"/>
        </w:rPr>
        <w:t>Генерация тем докладов и проектов.</w:t>
      </w:r>
      <w:r>
        <w:rPr>
          <w:rFonts w:ascii="Times New Roman" w:hAnsi="Times New Roman" w:cs="Times New Roman"/>
          <w:b/>
          <w:i/>
          <w:sz w:val="28"/>
          <w:szCs w:val="28"/>
        </w:rPr>
        <w:t xml:space="preserve"> </w:t>
      </w:r>
      <w:r>
        <w:rPr>
          <w:rFonts w:ascii="Times New Roman" w:hAnsi="Times New Roman" w:cs="Times New Roman"/>
          <w:sz w:val="28"/>
          <w:szCs w:val="28"/>
        </w:rPr>
        <w:t xml:space="preserve">Большие языковые модели позволяют получать формулировки тем, выходящие за рамки стандартных учебных формулировок. Генерируются темы, связывающие химическое содержание с повседневными интересами учащихся </w:t>
      </w:r>
      <w:r>
        <w:rPr>
          <w:rFonts w:ascii="Times New Roman" w:hAnsi="Times New Roman" w:cs="Times New Roman"/>
          <w:spacing w:val="-4"/>
          <w:sz w:val="28"/>
          <w:szCs w:val="28"/>
        </w:rPr>
        <w:t>–</w:t>
      </w:r>
      <w:r>
        <w:rPr>
          <w:rFonts w:ascii="Times New Roman" w:hAnsi="Times New Roman" w:cs="Times New Roman"/>
          <w:sz w:val="28"/>
          <w:szCs w:val="28"/>
        </w:rPr>
        <w:t xml:space="preserve"> кулинарией, кинематографом, компьютерными играми, историей. Запрос может быть персонализирован, например: для ученика, увлекающегося изобразительным искусством, формулируется тема, связанная с химией пигментов и красителей; для интересующегося техникой </w:t>
      </w:r>
      <w:r>
        <w:rPr>
          <w:rFonts w:ascii="Times New Roman" w:hAnsi="Times New Roman" w:cs="Times New Roman"/>
          <w:spacing w:val="-4"/>
          <w:sz w:val="28"/>
          <w:szCs w:val="28"/>
        </w:rPr>
        <w:t>–</w:t>
      </w:r>
      <w:r>
        <w:rPr>
          <w:rFonts w:ascii="Times New Roman" w:hAnsi="Times New Roman" w:cs="Times New Roman"/>
          <w:sz w:val="28"/>
          <w:szCs w:val="28"/>
        </w:rPr>
        <w:t xml:space="preserve"> тема, касающаяся химической коррозии в авиации. Практика показывает, что такие темы способствуют повышению вовлечённости учащихся в проектную деятельность.</w:t>
      </w:r>
    </w:p>
    <w:p w:rsidR="00F8531B" w:rsidRDefault="0076058D" w:rsidP="005465C3">
      <w:pPr>
        <w:spacing w:after="0" w:line="240" w:lineRule="auto"/>
        <w:ind w:firstLine="709"/>
        <w:jc w:val="both"/>
        <w:rPr>
          <w:rFonts w:ascii="Times New Roman" w:hAnsi="Times New Roman" w:cs="Times New Roman"/>
          <w:sz w:val="28"/>
          <w:szCs w:val="28"/>
        </w:rPr>
      </w:pPr>
      <w:r w:rsidRPr="003B51DE">
        <w:rPr>
          <w:rFonts w:ascii="Times New Roman" w:hAnsi="Times New Roman" w:cs="Times New Roman"/>
          <w:bCs/>
          <w:i/>
          <w:sz w:val="28"/>
          <w:szCs w:val="28"/>
        </w:rPr>
        <w:t>Составление заданий на развитие функциональной грамотности учащихся.</w:t>
      </w:r>
      <w:r>
        <w:rPr>
          <w:rFonts w:ascii="Times New Roman" w:hAnsi="Times New Roman" w:cs="Times New Roman"/>
          <w:b/>
          <w:bCs/>
          <w:i/>
          <w:sz w:val="28"/>
          <w:szCs w:val="28"/>
        </w:rPr>
        <w:t xml:space="preserve"> </w:t>
      </w:r>
      <w:r>
        <w:rPr>
          <w:rFonts w:ascii="Times New Roman" w:hAnsi="Times New Roman" w:cs="Times New Roman"/>
          <w:sz w:val="28"/>
          <w:szCs w:val="28"/>
        </w:rPr>
        <w:t xml:space="preserve">Большие языковые модели применяются для составления заданий, направленных на формирование функциональной грамотности в области естественнонаучного образования. Преподаватель формулирует запрос, в котором указывается химическая тема и тип функциональной грамотности, подлежащий развитию: читательская грамотность (работа с </w:t>
      </w:r>
      <w:r>
        <w:rPr>
          <w:rFonts w:ascii="Times New Roman" w:hAnsi="Times New Roman" w:cs="Times New Roman"/>
          <w:sz w:val="28"/>
          <w:szCs w:val="28"/>
        </w:rPr>
        <w:lastRenderedPageBreak/>
        <w:t xml:space="preserve">текстами химического содержания), математическая грамотность (расчёты по формулам, интерпретация графиков), естественнонаучная грамотность (объяснение явлений, анализ данных эксперимента) или глобальные компетенции (экологические аспекты химического производства). В запросе задаётся контекст задачи — реальная жизненная ситуация, в которой учащемуся необходимо применить химические знания. Система генерирует текстовые описания ситуаций с последующими вопросами, требующими не воспроизведения формул, а их интерпретации и перенос в новый контекст. Например, для темы «Жёсткость воды» могут быть сгенерированы задания сравнения эффективности разных методов умягчения воды в домашних условиях или задания на расчёт расхода моющих средств при разной жёсткости. </w:t>
      </w:r>
    </w:p>
    <w:p w:rsidR="00F8531B" w:rsidRDefault="0076058D" w:rsidP="005465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Важной особенностью является возможность генерации заданий с избыточной информацией (учащийся должен отсеять ненужные данные) и заданий с недостающими данными (учащийся должен сформулировать запрос на получение дополнительной информации). Система также способна создавать задания на распознавание псевдонаучных утверждений, встречающихся в рекламе или популярных статьях, что формирует критическое мышление в отношении химической информации. Полученные задания могут быть адаптированы под разные уровни обучения и специализации: производственные, медицинские и экологические.</w:t>
      </w:r>
    </w:p>
    <w:p w:rsidR="00F8531B" w:rsidRDefault="0076058D" w:rsidP="005465C3">
      <w:pPr>
        <w:spacing w:after="0" w:line="240" w:lineRule="auto"/>
        <w:ind w:firstLine="709"/>
        <w:jc w:val="both"/>
        <w:rPr>
          <w:rFonts w:ascii="Times New Roman" w:hAnsi="Times New Roman" w:cs="Times New Roman"/>
          <w:sz w:val="28"/>
          <w:szCs w:val="28"/>
        </w:rPr>
      </w:pPr>
      <w:r w:rsidRPr="003B51DE">
        <w:rPr>
          <w:rFonts w:ascii="Times New Roman" w:hAnsi="Times New Roman" w:cs="Times New Roman"/>
          <w:i/>
          <w:sz w:val="28"/>
          <w:szCs w:val="28"/>
        </w:rPr>
        <w:t>Подготовка к олимпиадам.</w:t>
      </w:r>
      <w:r>
        <w:rPr>
          <w:rFonts w:ascii="Times New Roman" w:hAnsi="Times New Roman" w:cs="Times New Roman"/>
          <w:b/>
          <w:i/>
          <w:sz w:val="28"/>
          <w:szCs w:val="28"/>
        </w:rPr>
        <w:t xml:space="preserve"> </w:t>
      </w:r>
      <w:r>
        <w:rPr>
          <w:rFonts w:ascii="Times New Roman" w:hAnsi="Times New Roman" w:cs="Times New Roman"/>
          <w:sz w:val="28"/>
          <w:szCs w:val="28"/>
        </w:rPr>
        <w:t xml:space="preserve">В ходе подготовки к олимпиадам большие языковые модели применяются для анализа структуры сложных заданий и генерации новых задач, построенных по той же логике, но с иными веществами и числовыми данными при сохранении химической сути. Возможна постановка задачи на декомпозицию: системе даётся запрос выделить из комплексной олимпиадной задачи несколько небольших тренировочных заданий, каждое из которых отрабатывает отдельный навык или формулу. В качестве иллюстрации: из задачи на вывод химической формулы вещества по продуктам сгорания последовательно извлекаются мини-задача на расчёт молярной массы по плотности газа, отдельная задача на вычисление массовой доли элемента, задача на определение простейшей формулы и задача на нахождение истинной формулы. Далее система выдаёт подробное пояснение к каждой из полученных задач в формате диалога, имитирующего работу преподавателя с учащимся. Пояснение не содержит готового ответа, а включает наводящие вопросы и комментарии к каждому шагу решения. </w:t>
      </w:r>
    </w:p>
    <w:p w:rsidR="00F8531B" w:rsidRPr="005465C3" w:rsidRDefault="0076058D" w:rsidP="005465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Большие языковые модели не предназначены для точных вычислений и демонстрируют ошибки в стехиометрических расчётах, а также некорректно расставляют коэффициенты в уравнениях окислительно-восстановительных реакций. Полученный с их помощью материал подлежит обязательной проверке: численные значения </w:t>
      </w:r>
      <w:r>
        <w:rPr>
          <w:rFonts w:ascii="Times New Roman" w:hAnsi="Times New Roman" w:cs="Times New Roman"/>
          <w:sz w:val="28"/>
          <w:szCs w:val="28"/>
        </w:rPr>
        <w:lastRenderedPageBreak/>
        <w:t xml:space="preserve">необходимо пересчитывать с использованием справочных таблиц или калькулятора, уравнения реакций следует проверять по авторитетным источникам. Целесообразно заранее включать в запрос требование к системе выполнять самопроверку перед выдачей ответа, а при работе с олимпиадными задачами параллельно проводить самостоятельное </w:t>
      </w:r>
      <w:r w:rsidRPr="005465C3">
        <w:rPr>
          <w:rFonts w:ascii="Times New Roman" w:hAnsi="Times New Roman" w:cs="Times New Roman"/>
          <w:sz w:val="28"/>
          <w:szCs w:val="28"/>
        </w:rPr>
        <w:t xml:space="preserve">решение. </w:t>
      </w:r>
    </w:p>
    <w:p w:rsidR="005465C3" w:rsidRDefault="0076058D" w:rsidP="005465C3">
      <w:pPr>
        <w:spacing w:after="0" w:line="240" w:lineRule="auto"/>
        <w:ind w:firstLineChars="150" w:firstLine="420"/>
        <w:jc w:val="both"/>
        <w:rPr>
          <w:rFonts w:ascii="Times New Roman" w:hAnsi="Times New Roman" w:cs="Times New Roman"/>
          <w:sz w:val="28"/>
          <w:szCs w:val="28"/>
        </w:rPr>
      </w:pPr>
      <w:r w:rsidRPr="005465C3">
        <w:rPr>
          <w:rFonts w:ascii="Times New Roman" w:hAnsi="Times New Roman" w:cs="Times New Roman"/>
          <w:sz w:val="28"/>
          <w:szCs w:val="28"/>
        </w:rPr>
        <w:t>Таким образом, современные большие языковые модели являются многофункциональным инструментом для использования всеми участниками образовательного процесса. При этом, на данном этапе их развития рекомендуется внедрять данные инструменты как дополнительные возможности и средства, не заменяющие, но эффективно дополняющие традиционные, с обязательным контролем со стороны преподавателя.</w:t>
      </w:r>
      <w:r w:rsidR="005465C3">
        <w:rPr>
          <w:rFonts w:ascii="Times New Roman" w:hAnsi="Times New Roman" w:cs="Times New Roman"/>
          <w:sz w:val="28"/>
          <w:szCs w:val="28"/>
        </w:rPr>
        <w:t xml:space="preserve"> </w:t>
      </w:r>
    </w:p>
    <w:p w:rsidR="00F8531B" w:rsidRDefault="00F8531B" w:rsidP="005465C3">
      <w:pPr>
        <w:spacing w:after="0" w:line="240" w:lineRule="auto"/>
        <w:ind w:firstLineChars="150" w:firstLine="420"/>
        <w:jc w:val="both"/>
        <w:rPr>
          <w:rFonts w:ascii="Times New Roman" w:eastAsia="Times New Roman" w:hAnsi="Times New Roman" w:cs="Times New Roman"/>
          <w:sz w:val="28"/>
          <w:szCs w:val="28"/>
        </w:rPr>
      </w:pPr>
    </w:p>
    <w:p w:rsidR="00F8531B" w:rsidRDefault="0076058D" w:rsidP="005465C3">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АНАЛИЗ АГРОХИМИЧЕСКОГО ПОТЕНЦИАЛА КОФЕЙНОЙ ГУЩИ В КУЛЬТИВИРОВАНИИ ОГУРЦА ПОСЕВНОГО (</w:t>
      </w:r>
      <w:r>
        <w:rPr>
          <w:rFonts w:ascii="Times New Roman" w:hAnsi="Times New Roman" w:cs="Times New Roman"/>
          <w:b/>
          <w:bCs/>
          <w:i/>
          <w:iCs/>
          <w:sz w:val="28"/>
          <w:szCs w:val="28"/>
        </w:rPr>
        <w:t>CUCUMIS SATIVUS</w:t>
      </w:r>
      <w:r>
        <w:rPr>
          <w:rFonts w:ascii="Times New Roman" w:hAnsi="Times New Roman" w:cs="Times New Roman"/>
          <w:b/>
          <w:bCs/>
          <w:sz w:val="28"/>
          <w:szCs w:val="28"/>
        </w:rPr>
        <w:t>)</w:t>
      </w:r>
    </w:p>
    <w:p w:rsidR="00F8531B" w:rsidRDefault="00F8531B" w:rsidP="005465C3">
      <w:pPr>
        <w:spacing w:after="0" w:line="240" w:lineRule="auto"/>
        <w:ind w:firstLine="709"/>
        <w:jc w:val="center"/>
        <w:rPr>
          <w:rFonts w:ascii="Times New Roman" w:hAnsi="Times New Roman" w:cs="Times New Roman"/>
          <w:sz w:val="28"/>
          <w:szCs w:val="28"/>
        </w:rPr>
      </w:pPr>
    </w:p>
    <w:p w:rsidR="00F8531B" w:rsidRDefault="0076058D" w:rsidP="005465C3">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Жарина Ирина Анатольевна</w:t>
      </w:r>
    </w:p>
    <w:p w:rsidR="00F8531B" w:rsidRDefault="0076058D" w:rsidP="005465C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доцент кафедры естествознания</w:t>
      </w:r>
    </w:p>
    <w:p w:rsidR="00F8531B" w:rsidRDefault="0076058D" w:rsidP="005465C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учреждения образования «Могилевский государственный университет имени А.А. Кулешова»;</w:t>
      </w:r>
    </w:p>
    <w:p w:rsidR="00F8531B" w:rsidRDefault="0076058D" w:rsidP="005465C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кандидат биологических наук, доцент</w:t>
      </w:r>
    </w:p>
    <w:p w:rsidR="00F8531B" w:rsidRDefault="0076058D" w:rsidP="005465C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 Могилев, Беларусь)</w:t>
      </w:r>
    </w:p>
    <w:p w:rsidR="00F8531B" w:rsidRPr="005465C3" w:rsidRDefault="006266D1" w:rsidP="005465C3">
      <w:pPr>
        <w:spacing w:after="0" w:line="240" w:lineRule="auto"/>
        <w:ind w:firstLine="709"/>
        <w:jc w:val="center"/>
        <w:rPr>
          <w:rStyle w:val="a3"/>
          <w:rFonts w:ascii="Times New Roman" w:hAnsi="Times New Roman" w:cs="Times New Roman"/>
          <w:color w:val="auto"/>
          <w:sz w:val="28"/>
          <w:szCs w:val="28"/>
          <w:u w:val="none"/>
        </w:rPr>
      </w:pPr>
      <w:hyperlink r:id="rId8" w:history="1">
        <w:r w:rsidR="0076058D" w:rsidRPr="005465C3">
          <w:rPr>
            <w:rStyle w:val="a3"/>
            <w:rFonts w:ascii="Times New Roman" w:hAnsi="Times New Roman" w:cs="Times New Roman"/>
            <w:color w:val="auto"/>
            <w:sz w:val="28"/>
            <w:szCs w:val="28"/>
            <w:u w:val="none"/>
            <w:lang w:val="en-US"/>
          </w:rPr>
          <w:t>zharina</w:t>
        </w:r>
        <w:r w:rsidR="0076058D" w:rsidRPr="005465C3">
          <w:rPr>
            <w:rStyle w:val="a3"/>
            <w:rFonts w:ascii="Times New Roman" w:hAnsi="Times New Roman" w:cs="Times New Roman"/>
            <w:color w:val="auto"/>
            <w:sz w:val="28"/>
            <w:szCs w:val="28"/>
            <w:u w:val="none"/>
          </w:rPr>
          <w:t>@</w:t>
        </w:r>
        <w:r w:rsidR="0076058D" w:rsidRPr="005465C3">
          <w:rPr>
            <w:rStyle w:val="a3"/>
            <w:rFonts w:ascii="Times New Roman" w:hAnsi="Times New Roman" w:cs="Times New Roman"/>
            <w:color w:val="auto"/>
            <w:sz w:val="28"/>
            <w:szCs w:val="28"/>
            <w:u w:val="none"/>
            <w:lang w:val="en-US"/>
          </w:rPr>
          <w:t>m</w:t>
        </w:r>
        <w:r w:rsidR="0076058D" w:rsidRPr="005465C3">
          <w:rPr>
            <w:rStyle w:val="a3"/>
            <w:rFonts w:ascii="Times New Roman" w:hAnsi="Times New Roman" w:cs="Times New Roman"/>
            <w:color w:val="auto"/>
            <w:sz w:val="28"/>
            <w:szCs w:val="28"/>
            <w:u w:val="none"/>
          </w:rPr>
          <w:t>.</w:t>
        </w:r>
        <w:r w:rsidR="0076058D" w:rsidRPr="005465C3">
          <w:rPr>
            <w:rStyle w:val="a3"/>
            <w:rFonts w:ascii="Times New Roman" w:hAnsi="Times New Roman" w:cs="Times New Roman"/>
            <w:color w:val="auto"/>
            <w:sz w:val="28"/>
            <w:szCs w:val="28"/>
            <w:u w:val="none"/>
            <w:lang w:val="en-US"/>
          </w:rPr>
          <w:t>msu</w:t>
        </w:r>
        <w:r w:rsidR="0076058D" w:rsidRPr="005465C3">
          <w:rPr>
            <w:rStyle w:val="a3"/>
            <w:rFonts w:ascii="Times New Roman" w:hAnsi="Times New Roman" w:cs="Times New Roman"/>
            <w:color w:val="auto"/>
            <w:sz w:val="28"/>
            <w:szCs w:val="28"/>
            <w:u w:val="none"/>
          </w:rPr>
          <w:t>.</w:t>
        </w:r>
        <w:r w:rsidR="0076058D" w:rsidRPr="005465C3">
          <w:rPr>
            <w:rStyle w:val="a3"/>
            <w:rFonts w:ascii="Times New Roman" w:hAnsi="Times New Roman" w:cs="Times New Roman"/>
            <w:color w:val="auto"/>
            <w:sz w:val="28"/>
            <w:szCs w:val="28"/>
            <w:u w:val="none"/>
            <w:lang w:val="en-US"/>
          </w:rPr>
          <w:t>by</w:t>
        </w:r>
      </w:hyperlink>
    </w:p>
    <w:p w:rsidR="00F8531B" w:rsidRDefault="00F8531B" w:rsidP="005465C3">
      <w:pPr>
        <w:spacing w:after="0" w:line="240" w:lineRule="auto"/>
        <w:ind w:firstLine="709"/>
        <w:jc w:val="both"/>
        <w:rPr>
          <w:rFonts w:ascii="Times New Roman" w:hAnsi="Times New Roman" w:cs="Times New Roman"/>
          <w:b/>
          <w:bCs/>
          <w:sz w:val="28"/>
          <w:szCs w:val="28"/>
        </w:rPr>
      </w:pP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Аннотация. </w:t>
      </w:r>
      <w:r>
        <w:rPr>
          <w:rFonts w:ascii="Times New Roman" w:hAnsi="Times New Roman" w:cs="Times New Roman"/>
          <w:sz w:val="24"/>
          <w:szCs w:val="24"/>
        </w:rPr>
        <w:t>В статье исследуется влияние кофейной гущи на показатели прорастания семян огурца посевного (</w:t>
      </w:r>
      <w:r>
        <w:rPr>
          <w:rFonts w:ascii="Times New Roman" w:hAnsi="Times New Roman" w:cs="Times New Roman"/>
          <w:i/>
          <w:iCs/>
          <w:sz w:val="24"/>
          <w:szCs w:val="24"/>
        </w:rPr>
        <w:t>Cucumis sativus</w:t>
      </w:r>
      <w:r>
        <w:rPr>
          <w:rFonts w:ascii="Times New Roman" w:hAnsi="Times New Roman" w:cs="Times New Roman"/>
          <w:sz w:val="24"/>
          <w:szCs w:val="24"/>
        </w:rPr>
        <w:t>). Авторами проведен анализ состава субстрата и дана количественная оценка его воздействия на энергию прорастания, всхожесть, среднее время и коэффициент скорости появления всходов. Результаты подтверждают потенциал кофейной гущи как органического удобрения, при этом выявлена зависимость эффективности её применения от концентрации и методики внесения в почву.</w:t>
      </w:r>
    </w:p>
    <w:p w:rsidR="00F8531B" w:rsidRDefault="0076058D" w:rsidP="005465C3">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4"/>
          <w:szCs w:val="24"/>
        </w:rPr>
        <w:t xml:space="preserve">Ключевые слова. </w:t>
      </w:r>
      <w:r>
        <w:rPr>
          <w:rFonts w:ascii="Times New Roman" w:hAnsi="Times New Roman" w:cs="Times New Roman"/>
          <w:sz w:val="24"/>
          <w:szCs w:val="24"/>
        </w:rPr>
        <w:t>Кофейная гуща, огурец посевной (</w:t>
      </w:r>
      <w:r>
        <w:rPr>
          <w:rFonts w:ascii="Times New Roman" w:hAnsi="Times New Roman" w:cs="Times New Roman"/>
          <w:i/>
          <w:iCs/>
          <w:sz w:val="24"/>
          <w:szCs w:val="24"/>
        </w:rPr>
        <w:t>Cucumis sativus</w:t>
      </w:r>
      <w:r>
        <w:rPr>
          <w:rFonts w:ascii="Times New Roman" w:hAnsi="Times New Roman" w:cs="Times New Roman"/>
          <w:sz w:val="24"/>
          <w:szCs w:val="24"/>
        </w:rPr>
        <w:t>), органическое удобрение, агрохимический потенциал, посевные качества семян, динамика прорастания.</w:t>
      </w:r>
    </w:p>
    <w:p w:rsidR="00F8531B" w:rsidRDefault="00F8531B" w:rsidP="005465C3">
      <w:pPr>
        <w:spacing w:after="0" w:line="240" w:lineRule="auto"/>
        <w:ind w:firstLine="709"/>
        <w:jc w:val="both"/>
        <w:rPr>
          <w:rFonts w:ascii="Times New Roman" w:hAnsi="Times New Roman" w:cs="Times New Roman"/>
          <w:sz w:val="28"/>
          <w:szCs w:val="28"/>
        </w:rPr>
      </w:pPr>
    </w:p>
    <w:p w:rsidR="00F8531B" w:rsidRDefault="0076058D" w:rsidP="005465C3">
      <w:pPr>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целей устойчивого развития агросектора приоритетными становятся внедрение природных регуляторов роста и замена минеральных удобрений органическими отходами [3]. Переработка кофейного жмыха соответствует принципам циркулярной экономики: она обеспечивает возврат питательных веществ в почвенный цикл и минимизирует экологический след АПК. Использование данного </w:t>
      </w:r>
      <w:r>
        <w:rPr>
          <w:rFonts w:ascii="Times New Roman" w:hAnsi="Times New Roman" w:cs="Times New Roman"/>
          <w:sz w:val="28"/>
          <w:szCs w:val="28"/>
        </w:rPr>
        <w:lastRenderedPageBreak/>
        <w:t>возобновляемого биосырья позволяет рационализировать природопользование и снизить антропогенную нагрузку на агроценозы.</w:t>
      </w:r>
    </w:p>
    <w:p w:rsidR="00F8531B" w:rsidRDefault="0076058D" w:rsidP="005465C3">
      <w:pPr>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Кофейная гуща и жмых, ежегодный объем которых исчисляется миллионами тонн, представляют собой ценный ресурс для растениеводства. Согласно исследованиям, кофейная гуща содержит значительные концентрации азота (до 2,1%), калия, фосфора и магния, что позволяет рассматривать её как эффективное органическое удобрение пролонгированного действия [4]. Анализ физико-химических свойств показывает, что внесение гущи способствует улучшению структуры почвы, повышая её влагоемкость и аэрацию. Несмотря на распространенное мнение о высокой кислотности, спитая гуща чаще имеет pH, близкий к нейтральному (6,5–6,8), что делает её универсальной для большинства культур, включая </w:t>
      </w:r>
      <w:r>
        <w:rPr>
          <w:rFonts w:ascii="Times New Roman" w:hAnsi="Times New Roman" w:cs="Times New Roman"/>
          <w:i/>
          <w:iCs/>
          <w:sz w:val="28"/>
          <w:szCs w:val="28"/>
        </w:rPr>
        <w:t>Cucumis sativus</w:t>
      </w:r>
      <w:r>
        <w:rPr>
          <w:rFonts w:ascii="Times New Roman" w:hAnsi="Times New Roman" w:cs="Times New Roman"/>
          <w:sz w:val="28"/>
          <w:szCs w:val="28"/>
        </w:rPr>
        <w:t xml:space="preserve">. Однако ключевым фактором влияния на растения остается наличие аллелопатических веществ, в частности кофеина и полифенолов [6]. Также отмечается, что в высоких концентрациях эти компоненты могут ингибировать прорастание семян и развитие корневой системы, что обуславливает необходимость строгого дозирования субстрата [7]. В практике сельского хозяйства выделяют несколько стратегий применения данного биоресурса. Наиболее эффективным признано предварительное компостирование, которое снижает фитотоксичность отходов и переводит питательные элементы в доступную для растений форму [8]. Кроме того, исследования подтверждают фунгицидные свойства кофейного жмыха, способного подавлять развитие патогенов, таких как </w:t>
      </w:r>
      <w:r>
        <w:rPr>
          <w:rFonts w:ascii="Times New Roman" w:hAnsi="Times New Roman" w:cs="Times New Roman"/>
          <w:i/>
          <w:iCs/>
          <w:sz w:val="28"/>
          <w:szCs w:val="28"/>
        </w:rPr>
        <w:t>Fusarium</w:t>
      </w:r>
      <w:r>
        <w:rPr>
          <w:rFonts w:ascii="Times New Roman" w:hAnsi="Times New Roman" w:cs="Times New Roman"/>
          <w:sz w:val="28"/>
          <w:szCs w:val="28"/>
        </w:rPr>
        <w:t xml:space="preserve"> и </w:t>
      </w:r>
      <w:r>
        <w:rPr>
          <w:rFonts w:ascii="Times New Roman" w:hAnsi="Times New Roman" w:cs="Times New Roman"/>
          <w:i/>
          <w:iCs/>
          <w:sz w:val="28"/>
          <w:szCs w:val="28"/>
        </w:rPr>
        <w:t>Pythium</w:t>
      </w:r>
      <w:r>
        <w:rPr>
          <w:rFonts w:ascii="Times New Roman" w:hAnsi="Times New Roman" w:cs="Times New Roman"/>
          <w:sz w:val="28"/>
          <w:szCs w:val="28"/>
        </w:rPr>
        <w:t>, что снижает пестицидную нагрузку на агроценозы [5]. Также установлено, что воздействие физиологически активных веществ кофе носит дозозависимый характер: в низких концентрациях кофеин выступает в роли стимулятора ризогенеза, способствуя формированию более развитой корневой системы у льна и гречихи. Однако преодоление порога концентрации в 0,1% приводит к выраженному ингибирующему эффекту, существенно снижая энергию прорастания и всхожесть семян [1]. Исследованиями [2] также обоснована эффективность гущи как органического удобрения пролонгированного действия, что особенно актуально для горшечных культур в осенне-зимний период. Замедленная минерализация азота из кофейного субстрата позволяет предотвратить избыточное накопление вегетативной массы в условиях дефицита инсоляции («перекармливание»), обеспечивая сбалансированное питание растений.</w:t>
      </w:r>
    </w:p>
    <w:p w:rsidR="00F8531B" w:rsidRDefault="0076058D" w:rsidP="005465C3">
      <w:pPr>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использование кофейной гущи отвечает целям устойчивого развития, обеспечивая рациональное использование ресурсов при сохранении биологической продуктивности почв. Однако вариативность отклика различных видов растений, в частности представителей семейства Тыквенные, требует более детального изучения механизмов их адаптации к данному органическому компоненту. В связи с </w:t>
      </w:r>
      <w:r>
        <w:rPr>
          <w:rFonts w:ascii="Times New Roman" w:hAnsi="Times New Roman" w:cs="Times New Roman"/>
          <w:sz w:val="28"/>
          <w:szCs w:val="28"/>
        </w:rPr>
        <w:lastRenderedPageBreak/>
        <w:t>этим целью нашего исследования являлось изучение влияния кофейной гущи на морфофизиологические параметры растений огурца.</w:t>
      </w:r>
    </w:p>
    <w:p w:rsidR="00F8531B" w:rsidRDefault="0076058D" w:rsidP="005465C3">
      <w:pPr>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В качестве объекта исследования использовались семена огурца посевного сорта «</w:t>
      </w:r>
      <w:r>
        <w:rPr>
          <w:rFonts w:ascii="Times New Roman" w:hAnsi="Times New Roman" w:cs="Times New Roman"/>
          <w:sz w:val="28"/>
        </w:rPr>
        <w:t>Паланочки корнишон». Это среднеранний сорт, предназначенный для открытого грунта и теплиц, пчелоопыляемый, период от всходов до уборки 45-50 дней. Зеленец корнишонного типа, длиной 5–8 см, характеризуется высокими вкусовыми и технологическими качествами. Растения выращивались в условиях вегетационного опыта на универсальном грунте для рассады (контроль, К), а также в вариантах с дотациями кофейной гущи 10%, 20% и 30% от объема грунта (варианты В1, В2, В3). Определялись следующие показатели: энергия прорастания семян, всхожесть, среднее время прорастания семян (СВП), коэффициент скорости прорастания семян (КСП).</w:t>
      </w:r>
    </w:p>
    <w:p w:rsidR="00F8531B" w:rsidRDefault="0076058D" w:rsidP="005465C3">
      <w:pPr>
        <w:spacing w:after="0" w:line="240" w:lineRule="auto"/>
        <w:ind w:firstLineChars="200"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полученных данных выявил нелинейную зависимость развития растений от содержания кофейной гущи в субстрате (таблица):</w:t>
      </w:r>
    </w:p>
    <w:p w:rsidR="00F8531B" w:rsidRDefault="00F8531B" w:rsidP="005465C3">
      <w:pPr>
        <w:spacing w:after="0" w:line="240" w:lineRule="auto"/>
        <w:ind w:firstLineChars="200" w:firstLine="480"/>
        <w:jc w:val="both"/>
        <w:rPr>
          <w:rFonts w:ascii="Times New Roman" w:eastAsia="Times New Roman" w:hAnsi="Times New Roman" w:cs="Times New Roman"/>
          <w:sz w:val="24"/>
          <w:szCs w:val="24"/>
        </w:rPr>
      </w:pPr>
    </w:p>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Влияние концентрации кофейной гущи на параметры прорастания огурца посевного</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45"/>
        <w:gridCol w:w="1892"/>
        <w:gridCol w:w="2318"/>
        <w:gridCol w:w="1607"/>
        <w:gridCol w:w="2066"/>
      </w:tblGrid>
      <w:tr w:rsidR="00F8531B">
        <w:trPr>
          <w:trHeight w:val="838"/>
        </w:trPr>
        <w:tc>
          <w:tcPr>
            <w:tcW w:w="63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Вариант опыта</w:t>
            </w:r>
          </w:p>
        </w:tc>
        <w:tc>
          <w:tcPr>
            <w:tcW w:w="1048"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Всхожесть, %</w:t>
            </w:r>
          </w:p>
        </w:tc>
        <w:tc>
          <w:tcPr>
            <w:tcW w:w="128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Энергия прорастания, %</w:t>
            </w:r>
          </w:p>
        </w:tc>
        <w:tc>
          <w:tcPr>
            <w:tcW w:w="890"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СВП, сут.</w:t>
            </w:r>
          </w:p>
        </w:tc>
        <w:tc>
          <w:tcPr>
            <w:tcW w:w="114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КСП</w:t>
            </w:r>
          </w:p>
        </w:tc>
      </w:tr>
      <w:tr w:rsidR="00F8531B">
        <w:trPr>
          <w:trHeight w:val="20"/>
        </w:trPr>
        <w:tc>
          <w:tcPr>
            <w:tcW w:w="634" w:type="pct"/>
            <w:shd w:val="clear" w:color="auto" w:fill="FFFFFF"/>
            <w:tcMar>
              <w:left w:w="57" w:type="dxa"/>
              <w:right w:w="57" w:type="dxa"/>
            </w:tcMar>
            <w:vAlign w:val="bottom"/>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p>
        </w:tc>
        <w:tc>
          <w:tcPr>
            <w:tcW w:w="1048"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8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890"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14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27,78</w:t>
            </w:r>
          </w:p>
        </w:tc>
      </w:tr>
      <w:tr w:rsidR="00F8531B">
        <w:trPr>
          <w:trHeight w:val="20"/>
        </w:trPr>
        <w:tc>
          <w:tcPr>
            <w:tcW w:w="634" w:type="pct"/>
            <w:shd w:val="clear" w:color="auto" w:fill="FFFFFF"/>
            <w:tcMar>
              <w:left w:w="57" w:type="dxa"/>
              <w:right w:w="57" w:type="dxa"/>
            </w:tcMar>
            <w:vAlign w:val="bottom"/>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В1</w:t>
            </w:r>
          </w:p>
        </w:tc>
        <w:tc>
          <w:tcPr>
            <w:tcW w:w="1048"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8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890"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14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F8531B">
        <w:trPr>
          <w:trHeight w:val="20"/>
        </w:trPr>
        <w:tc>
          <w:tcPr>
            <w:tcW w:w="634" w:type="pct"/>
            <w:shd w:val="clear" w:color="auto" w:fill="FFFFFF"/>
            <w:tcMar>
              <w:left w:w="57" w:type="dxa"/>
              <w:right w:w="57" w:type="dxa"/>
            </w:tcMar>
            <w:vAlign w:val="bottom"/>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В2</w:t>
            </w:r>
          </w:p>
        </w:tc>
        <w:tc>
          <w:tcPr>
            <w:tcW w:w="1048"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8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90"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114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r>
      <w:tr w:rsidR="00F8531B">
        <w:trPr>
          <w:trHeight w:val="20"/>
        </w:trPr>
        <w:tc>
          <w:tcPr>
            <w:tcW w:w="63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В3</w:t>
            </w:r>
          </w:p>
        </w:tc>
        <w:tc>
          <w:tcPr>
            <w:tcW w:w="1048"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8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90"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144" w:type="pct"/>
            <w:shd w:val="clear" w:color="auto" w:fill="FFFFFF"/>
            <w:tcMar>
              <w:left w:w="57" w:type="dxa"/>
              <w:right w:w="57" w:type="dxa"/>
            </w:tcMar>
            <w:vAlign w:val="center"/>
          </w:tcPr>
          <w:p w:rsidR="00F8531B" w:rsidRDefault="0076058D" w:rsidP="005465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r>
    </w:tbl>
    <w:p w:rsidR="00F8531B" w:rsidRDefault="00F8531B" w:rsidP="005465C3">
      <w:pPr>
        <w:spacing w:after="0" w:line="240" w:lineRule="auto"/>
        <w:ind w:firstLine="709"/>
        <w:jc w:val="both"/>
        <w:rPr>
          <w:rFonts w:ascii="Times New Roman" w:eastAsia="Times New Roman" w:hAnsi="Times New Roman" w:cs="Times New Roman"/>
          <w:sz w:val="24"/>
          <w:szCs w:val="24"/>
        </w:rPr>
      </w:pPr>
    </w:p>
    <w:p w:rsidR="00F8531B" w:rsidRDefault="0076058D" w:rsidP="005465C3">
      <w:pPr>
        <w:spacing w:after="0" w:line="240" w:lineRule="auto"/>
        <w:ind w:firstLineChars="200"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опытные варианты (В1–В3) уступают контролю по итоговой всхожести. Наиболее критическое угнетение зафиксировано при минимальной добавке гущи (10%), где всхожесть снизилась до 60%. Это может быть связано с тем, что низкие концентрации органики не обеспечивают должной аэрации, но при этом содержат достаточное количество фитотоксичных фенольных соединений. Обнаружена обратная зависимость между концентрацией гущи и временем прорастания семян. Несмотря на снижение общего процента выживших семян, выжившие особи прорастали быстрее, чем в контроле. В варианте В3 достигнута максимальная скорость (КСП 33,33), а среднее время прорастания сократилось на 0,6 суток относительно контроля. Вариант В2</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показал наилучший баланс между жизнеспособностью (90% всхожести) и скоростью развития, что позволяет считать данную концентрацию условно оптимальной для исследуемой культуры.</w:t>
      </w:r>
    </w:p>
    <w:p w:rsidR="00F8531B" w:rsidRDefault="0076058D" w:rsidP="005465C3">
      <w:pPr>
        <w:spacing w:after="0" w:line="240" w:lineRule="auto"/>
        <w:ind w:firstLineChars="200"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кофейная гуща оказывает селективное воздействие на семена огурца посевного. С одной стороны, она выступает как ингибитор, снижая общую всхожесть на 10–40%, что подтверждает наличие аллелопатической активности отходов кофе. С другой стороны, высокие </w:t>
      </w:r>
      <w:r>
        <w:rPr>
          <w:rFonts w:ascii="Times New Roman" w:eastAsia="Times New Roman" w:hAnsi="Times New Roman" w:cs="Times New Roman"/>
          <w:sz w:val="28"/>
          <w:szCs w:val="28"/>
        </w:rPr>
        <w:lastRenderedPageBreak/>
        <w:t>концентрации гущи (20–30%) действуют как физиологический триггер, ускоряющий темпы прорастания наиболее жизнеспособных семян. Таким образом, применение кофейной гущи в качестве удобрения требует строгого контроля дозировки в зависимости от особенностей культуры.</w:t>
      </w:r>
    </w:p>
    <w:p w:rsidR="00F8531B" w:rsidRDefault="0076058D" w:rsidP="005465C3">
      <w:pPr>
        <w:spacing w:after="0" w:line="240" w:lineRule="auto"/>
        <w:ind w:firstLineChars="200"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Проведенными исследованиями подтверждается целесообразность существующих рекомендаций для минимизации фитотоксичности и повышения эффективности кофейной гущи для практического применения в сельском хозяйстве и частном растениеводстве. Для нейтрализации негативного влияния аллелопатических веществ рекомендуются следующие методы подготовки. Предварительное компостирование субстрата в течение 3–4 месяцев в смеси с соломой или опилками (в пропорции 1:3) ускоряет микробиологическое разложение кофеина и фенолов, переводя органический азот в доступную для растений форму. Термическое обеззараживание или тщательное высушивание гущи перед внесением в грунт эффективно предотвращает развитие патогенной микрофлоры. Несмотря на близкий к нейтральному pH жмыха, при культивировании огурца целесообразно сочетать его с древесной золой или доломитовой мукой для стабилизации кислотно-щелочного баланса и обогащения почвы кальцием. Вносить подготовленную гущу рекомендуется дробно, минимум за две недели до начала сева, обеспечивая равномерное перемешивание с почвой для предварительной деструкции кофеина биотой. Также высокой эффективностью обладает применение жидкой ферментированной подкормки: настаивание гущи в воде в течение 24–48 часов позволяет получить мягкий биологический стимулятор роста, минимизирующий риск прямого ингибирования корневой системы сеянцев.</w:t>
      </w:r>
    </w:p>
    <w:p w:rsidR="00F8531B" w:rsidRDefault="0076058D" w:rsidP="005465C3">
      <w:pPr>
        <w:spacing w:after="0" w:line="240" w:lineRule="auto"/>
        <w:ind w:firstLineChars="200"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кофейная гуща является ценным вторичным биоресурсом, однако её прямое использование в свежем виде сопряжено с рисками снижения всхожести. Оптимальной стратегией для сельского хозяйства является её интеграция в компостные циклы, что позволяет реализовать принципы устойчивого развития и циркулярной экономики без ущерба для продуктивности агроценозов».</w:t>
      </w:r>
    </w:p>
    <w:p w:rsidR="00F8531B" w:rsidRDefault="00F8531B" w:rsidP="005465C3">
      <w:pPr>
        <w:spacing w:after="0" w:line="240" w:lineRule="auto"/>
        <w:ind w:firstLine="709"/>
        <w:jc w:val="both"/>
        <w:rPr>
          <w:rFonts w:ascii="Times New Roman" w:hAnsi="Times New Roman" w:cs="Times New Roman"/>
          <w:sz w:val="28"/>
          <w:szCs w:val="28"/>
        </w:rPr>
      </w:pPr>
    </w:p>
    <w:p w:rsidR="00F8531B" w:rsidRPr="00302646" w:rsidRDefault="0076058D" w:rsidP="005465C3">
      <w:pPr>
        <w:spacing w:after="0" w:line="240" w:lineRule="auto"/>
        <w:ind w:firstLine="709"/>
        <w:jc w:val="center"/>
        <w:rPr>
          <w:rFonts w:ascii="Times New Roman" w:hAnsi="Times New Roman" w:cs="Times New Roman"/>
          <w:b/>
          <w:bCs/>
          <w:sz w:val="28"/>
          <w:szCs w:val="28"/>
        </w:rPr>
      </w:pPr>
      <w:r w:rsidRPr="00302646">
        <w:rPr>
          <w:rFonts w:ascii="Times New Roman" w:hAnsi="Times New Roman" w:cs="Times New Roman"/>
          <w:b/>
          <w:bCs/>
          <w:sz w:val="28"/>
          <w:szCs w:val="28"/>
        </w:rPr>
        <w:t>Список литературы</w:t>
      </w:r>
    </w:p>
    <w:p w:rsidR="00F8531B" w:rsidRDefault="0076058D" w:rsidP="005465C3">
      <w:pPr>
        <w:pStyle w:val="z1qcye"/>
        <w:numPr>
          <w:ilvl w:val="0"/>
          <w:numId w:val="1"/>
        </w:numPr>
        <w:spacing w:before="0" w:beforeAutospacing="0" w:after="0" w:afterAutospacing="0"/>
        <w:ind w:left="0" w:firstLine="709"/>
        <w:jc w:val="both"/>
      </w:pPr>
      <w:r>
        <w:rPr>
          <w:rStyle w:val="a4"/>
          <w:b w:val="0"/>
          <w:bCs w:val="0"/>
        </w:rPr>
        <w:t>Гордеева, И. В.</w:t>
      </w:r>
      <w:r>
        <w:rPr>
          <w:rStyle w:val="t286pc"/>
        </w:rPr>
        <w:t xml:space="preserve"> Влияние кофеина на показатели раннего онтогенеза культурных растений / И. В. Гордеева, Л. В. Алешина // Вестник ИрГСХА. 2017. № 81-1. С. 34–41.</w:t>
      </w:r>
    </w:p>
    <w:p w:rsidR="00F8531B" w:rsidRDefault="0076058D" w:rsidP="005465C3">
      <w:pPr>
        <w:pStyle w:val="z1qcye"/>
        <w:numPr>
          <w:ilvl w:val="0"/>
          <w:numId w:val="1"/>
        </w:numPr>
        <w:spacing w:before="0" w:beforeAutospacing="0" w:after="0" w:afterAutospacing="0"/>
        <w:ind w:left="0" w:firstLine="709"/>
        <w:jc w:val="both"/>
      </w:pPr>
      <w:r>
        <w:rPr>
          <w:rStyle w:val="a4"/>
          <w:b w:val="0"/>
          <w:bCs w:val="0"/>
        </w:rPr>
        <w:t>Дулова, К. А.</w:t>
      </w:r>
      <w:r>
        <w:rPr>
          <w:rStyle w:val="t286pc"/>
        </w:rPr>
        <w:t xml:space="preserve"> Влияние кофейной гущи на растения в качестве удобрения [Электронный ресурс] / К. А. Дулова // Юный ученый. 2023. № 2 (65). С. 132–134. Режим доступа: yunyucheny.ru. Дата доступа: 05.05.2024.</w:t>
      </w:r>
    </w:p>
    <w:p w:rsidR="00F8531B" w:rsidRDefault="0076058D" w:rsidP="005465C3">
      <w:pPr>
        <w:pStyle w:val="z1qcye"/>
        <w:numPr>
          <w:ilvl w:val="0"/>
          <w:numId w:val="1"/>
        </w:numPr>
        <w:spacing w:before="0" w:beforeAutospacing="0" w:after="0" w:afterAutospacing="0"/>
        <w:ind w:left="0" w:firstLine="709"/>
        <w:jc w:val="both"/>
      </w:pPr>
      <w:r>
        <w:rPr>
          <w:rStyle w:val="a4"/>
          <w:b w:val="0"/>
          <w:bCs w:val="0"/>
        </w:rPr>
        <w:t>Жарина, И. А.</w:t>
      </w:r>
      <w:r>
        <w:rPr>
          <w:rStyle w:val="t286pc"/>
        </w:rPr>
        <w:t xml:space="preserve"> Влияние физиологически активных веществ кофе и водных экстрактов кофейной гущи на всхожесть семян сельскохозяйственных растений / И. А. Жарина // Проблемы устойчивого развития регионов Республики Беларусь и сопредельных стран : сб. материалов ХIV Междунар. науч.-практ. конф., Могилев, 23 </w:t>
      </w:r>
      <w:r>
        <w:rPr>
          <w:rStyle w:val="t286pc"/>
        </w:rPr>
        <w:lastRenderedPageBreak/>
        <w:t>мая 2025 г. / под ред. Н. В. Маковской. Могилев : МГУ имени А. А. Кулешова, 2025. С. 3–10.</w:t>
      </w:r>
    </w:p>
    <w:p w:rsidR="00F8531B" w:rsidRDefault="0076058D" w:rsidP="005465C3">
      <w:pPr>
        <w:pStyle w:val="z1qcye"/>
        <w:numPr>
          <w:ilvl w:val="0"/>
          <w:numId w:val="1"/>
        </w:numPr>
        <w:spacing w:before="0" w:beforeAutospacing="0" w:after="0" w:afterAutospacing="0"/>
        <w:ind w:left="0" w:firstLine="709"/>
        <w:jc w:val="both"/>
        <w:rPr>
          <w:lang w:val="en-US"/>
        </w:rPr>
      </w:pPr>
      <w:r>
        <w:rPr>
          <w:rStyle w:val="a4"/>
          <w:b w:val="0"/>
          <w:bCs w:val="0"/>
          <w:lang w:val="en-US"/>
        </w:rPr>
        <w:t>Cervera-Mata, M.</w:t>
      </w:r>
      <w:r>
        <w:rPr>
          <w:rStyle w:val="t286pc"/>
          <w:b/>
          <w:bCs/>
          <w:lang w:val="en-US"/>
        </w:rPr>
        <w:t xml:space="preserve"> </w:t>
      </w:r>
      <w:r>
        <w:rPr>
          <w:rStyle w:val="t286pc"/>
          <w:lang w:val="en-US"/>
        </w:rPr>
        <w:t>Spent coffee grounds as a reusable source of nitrogen for agriculture [Electronic resource] / M. Cervera-Mata, J. Navarro-Alarcón // Journal of Agricultural and Food Chemistry. 2018. Vol. 66, № 19. P. 4847–4855. Mode of access: doi.org. Date of access: 05.05.2024.</w:t>
      </w:r>
    </w:p>
    <w:p w:rsidR="00F8531B" w:rsidRDefault="0076058D" w:rsidP="005465C3">
      <w:pPr>
        <w:pStyle w:val="z1qcye"/>
        <w:numPr>
          <w:ilvl w:val="0"/>
          <w:numId w:val="1"/>
        </w:numPr>
        <w:spacing w:before="0" w:beforeAutospacing="0" w:after="0" w:afterAutospacing="0"/>
        <w:ind w:left="0" w:firstLine="709"/>
        <w:jc w:val="both"/>
        <w:rPr>
          <w:lang w:val="en-US"/>
        </w:rPr>
      </w:pPr>
      <w:r>
        <w:rPr>
          <w:rStyle w:val="a4"/>
          <w:b w:val="0"/>
          <w:bCs w:val="0"/>
          <w:lang w:val="en-US"/>
        </w:rPr>
        <w:t>Haghighat Borisa, S.</w:t>
      </w:r>
      <w:r>
        <w:rPr>
          <w:rStyle w:val="t286pc"/>
          <w:lang w:val="en-US"/>
        </w:rPr>
        <w:t xml:space="preserve"> Antifungal activity of coffee wastes against soil-borne pathogens [Electronic resource] / S. Haghighat Borisa, M. Azizi // International Journal of Recycling of Organic Waste in Agriculture. 2020. Vol. 9, № 3. P. 311–320. Mode of access: doi.org. Date of access: 05.05.2024.</w:t>
      </w:r>
    </w:p>
    <w:p w:rsidR="00F8531B" w:rsidRDefault="0076058D" w:rsidP="005465C3">
      <w:pPr>
        <w:pStyle w:val="z1qcye"/>
        <w:numPr>
          <w:ilvl w:val="0"/>
          <w:numId w:val="1"/>
        </w:numPr>
        <w:spacing w:before="0" w:beforeAutospacing="0" w:after="0" w:afterAutospacing="0"/>
        <w:ind w:left="0" w:firstLine="709"/>
        <w:jc w:val="both"/>
        <w:rPr>
          <w:lang w:val="en-US"/>
        </w:rPr>
      </w:pPr>
      <w:r>
        <w:rPr>
          <w:rStyle w:val="a4"/>
          <w:b w:val="0"/>
          <w:bCs w:val="0"/>
          <w:lang w:val="en-US"/>
        </w:rPr>
        <w:t>Hardgrove, S. J.</w:t>
      </w:r>
      <w:r>
        <w:rPr>
          <w:rStyle w:val="t286pc"/>
          <w:lang w:val="en-US"/>
        </w:rPr>
        <w:t xml:space="preserve"> Applying spent coffee grounds directly to urban agriculture soils greatly reduces plant growth [Electronic resource] / S. J. Hardgrove, S. J. Livesley // Urban Forestry &amp; Urban Greening. 2016. Vol. 18. P. 1–8. Mode of access: doi.org. Date of access: 05.05.2024.</w:t>
      </w:r>
    </w:p>
    <w:p w:rsidR="00F8531B" w:rsidRDefault="0076058D" w:rsidP="005465C3">
      <w:pPr>
        <w:pStyle w:val="z1qcye"/>
        <w:numPr>
          <w:ilvl w:val="0"/>
          <w:numId w:val="1"/>
        </w:numPr>
        <w:spacing w:before="0" w:beforeAutospacing="0" w:after="0" w:afterAutospacing="0"/>
        <w:ind w:left="0" w:firstLine="709"/>
        <w:jc w:val="both"/>
        <w:rPr>
          <w:lang w:val="en-US"/>
        </w:rPr>
      </w:pPr>
      <w:r>
        <w:rPr>
          <w:rStyle w:val="a4"/>
          <w:b w:val="0"/>
          <w:bCs w:val="0"/>
          <w:lang w:val="en-US"/>
        </w:rPr>
        <w:t>Kitou, M.</w:t>
      </w:r>
      <w:r>
        <w:rPr>
          <w:rStyle w:val="t286pc"/>
          <w:lang w:val="en-US"/>
        </w:rPr>
        <w:t xml:space="preserve"> Spent coffee grounds as a soil amendment for vegetable production [Electronic resource] / M. Kitou, W. Mussoline // Journal of Agricultural Science and Technology. 2013. Vol. 3, № 4. P. 221–230. Mode of access: researchgate.net. Date of access: 05.05.2024.</w:t>
      </w:r>
    </w:p>
    <w:p w:rsidR="00F8531B" w:rsidRDefault="0076058D" w:rsidP="005465C3">
      <w:pPr>
        <w:pStyle w:val="z1qcye"/>
        <w:numPr>
          <w:ilvl w:val="0"/>
          <w:numId w:val="1"/>
        </w:numPr>
        <w:spacing w:before="0" w:beforeAutospacing="0" w:after="0" w:afterAutospacing="0"/>
        <w:ind w:left="0" w:firstLine="709"/>
        <w:jc w:val="both"/>
        <w:rPr>
          <w:rStyle w:val="t286pc"/>
          <w:lang w:val="en-US"/>
        </w:rPr>
      </w:pPr>
      <w:r>
        <w:rPr>
          <w:rStyle w:val="a4"/>
          <w:b w:val="0"/>
          <w:bCs w:val="0"/>
          <w:lang w:val="en-US"/>
        </w:rPr>
        <w:t>Vozniuk, N.</w:t>
      </w:r>
      <w:r>
        <w:rPr>
          <w:rStyle w:val="t286pc"/>
          <w:lang w:val="en-US"/>
        </w:rPr>
        <w:t xml:space="preserve"> Use of composted spent coffee grounds in organic farming [Electronic resource] / N. Vozniuk, O. Mykhailovych // Environmental Research and Management. 2021. № 12. P. 45–52. Mode of access: doi.org. Date of access: 05.05.2024.</w:t>
      </w:r>
    </w:p>
    <w:p w:rsidR="00CA59B8" w:rsidRDefault="00CA59B8" w:rsidP="005465C3">
      <w:pPr>
        <w:spacing w:after="0" w:line="240" w:lineRule="auto"/>
        <w:ind w:firstLine="709"/>
        <w:jc w:val="center"/>
        <w:rPr>
          <w:rFonts w:ascii="Times New Roman" w:hAnsi="Times New Roman" w:cs="Times New Roman"/>
          <w:b/>
          <w:bCs/>
          <w:sz w:val="28"/>
          <w:szCs w:val="28"/>
        </w:rPr>
      </w:pPr>
    </w:p>
    <w:p w:rsidR="00F8531B" w:rsidRDefault="0076058D" w:rsidP="005465C3">
      <w:pPr>
        <w:spacing w:after="0" w:line="240" w:lineRule="auto"/>
        <w:ind w:firstLine="709"/>
        <w:jc w:val="center"/>
        <w:rPr>
          <w:rFonts w:ascii="Times New Roman" w:hAnsi="Times New Roman" w:cs="Times New Roman"/>
          <w:b/>
          <w:bCs/>
          <w:sz w:val="28"/>
          <w:szCs w:val="28"/>
        </w:rPr>
      </w:pPr>
      <w:r w:rsidRPr="005465C3">
        <w:rPr>
          <w:rFonts w:ascii="Times New Roman" w:hAnsi="Times New Roman" w:cs="Times New Roman"/>
          <w:b/>
          <w:bCs/>
          <w:sz w:val="28"/>
          <w:szCs w:val="28"/>
        </w:rPr>
        <w:t>ПРИМЕНЕНИЕ ТЕХНОЛОГИЙ МАШИННОГО ОБУЧЕНИЯ ДЛЯ ОПТИМИЗАЦИИ ЭНЕРГОПОТРЕБЛЕНИЯ В ГОРОДСКИХ ИНФРАСТРУКТРНЫХ СИСТЕМАХ</w:t>
      </w:r>
    </w:p>
    <w:p w:rsidR="00F8531B" w:rsidRDefault="00F8531B" w:rsidP="005465C3">
      <w:pPr>
        <w:spacing w:after="0" w:line="240" w:lineRule="auto"/>
        <w:ind w:firstLine="709"/>
        <w:jc w:val="center"/>
        <w:rPr>
          <w:rFonts w:ascii="Times New Roman" w:hAnsi="Times New Roman" w:cs="Times New Roman"/>
          <w:b/>
          <w:bCs/>
          <w:sz w:val="28"/>
          <w:szCs w:val="28"/>
        </w:rPr>
      </w:pPr>
    </w:p>
    <w:p w:rsidR="00F8531B" w:rsidRDefault="0076058D" w:rsidP="005465C3">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Иванова Карина Витальевна</w:t>
      </w:r>
    </w:p>
    <w:p w:rsidR="00F8531B" w:rsidRDefault="0076058D" w:rsidP="005465C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студент учреждения образования «Могилевский государственный университет имени А.А. Кулешова»</w:t>
      </w:r>
    </w:p>
    <w:p w:rsidR="00F8531B" w:rsidRDefault="0076058D" w:rsidP="005465C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 Могилев, Беларусь)</w:t>
      </w:r>
    </w:p>
    <w:p w:rsidR="00F8531B" w:rsidRDefault="0076058D" w:rsidP="005465C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Ki369669@gmail.com </w:t>
      </w:r>
    </w:p>
    <w:p w:rsidR="00F8531B" w:rsidRDefault="00F8531B" w:rsidP="005465C3">
      <w:pPr>
        <w:spacing w:after="0" w:line="240" w:lineRule="auto"/>
        <w:ind w:firstLine="709"/>
        <w:jc w:val="center"/>
        <w:rPr>
          <w:rFonts w:ascii="Times New Roman" w:hAnsi="Times New Roman" w:cs="Times New Roman"/>
          <w:sz w:val="28"/>
          <w:szCs w:val="28"/>
        </w:rPr>
      </w:pP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Аннотация.</w:t>
      </w:r>
      <w:r>
        <w:rPr>
          <w:rFonts w:ascii="Times New Roman" w:hAnsi="Times New Roman" w:cs="Times New Roman"/>
          <w:sz w:val="24"/>
          <w:szCs w:val="24"/>
        </w:rPr>
        <w:t xml:space="preserve"> Исследование посвящено изучению научных предпосылок использования цифровых инструментов, включая машинное обучение и нейросети, для обеспечения устойчивого развития белорусских городских агломераций. В работе проводится обзор актуальных подходов к прогнозированию энергоресурсов с учетом архивных данных, погодных условий и параметров застройки в специфике климата Беларуси. Установлено, что внедрение интеллектуальных алгоритмов в инфраструктуру «умного города» способствует уменьшению углеродного следа и укреплению национальной энергетической безопасности. Эмпирические данные, полученные при тестировании на жилом массиве в Минске, демонстрируют эффективность предложенных решений: экономия электроэнергии достигла 18,7%, а объем выбросов парниковых газов сократился на 9,3 тыс. тонн в пересчете на СО</w:t>
      </w:r>
      <w:r w:rsidR="005465C3" w:rsidRPr="005465C3">
        <w:rPr>
          <w:rFonts w:ascii="Times New Roman" w:hAnsi="Times New Roman" w:cs="Times New Roman"/>
          <w:sz w:val="24"/>
          <w:szCs w:val="24"/>
          <w:vertAlign w:val="subscript"/>
        </w:rPr>
        <w:t>2</w:t>
      </w:r>
      <w:r>
        <w:rPr>
          <w:rFonts w:ascii="Times New Roman" w:hAnsi="Times New Roman" w:cs="Times New Roman"/>
          <w:sz w:val="24"/>
          <w:szCs w:val="24"/>
        </w:rPr>
        <w:t>-эквивалент ежегодно.</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Ключевые слова. </w:t>
      </w:r>
      <w:r>
        <w:rPr>
          <w:rFonts w:ascii="Times New Roman" w:hAnsi="Times New Roman" w:cs="Times New Roman"/>
          <w:sz w:val="24"/>
          <w:szCs w:val="24"/>
        </w:rPr>
        <w:t>Устойчивое развитие, цифровые технологии, машинное обучение, энергоэффективность, естественнонаучный подход, Республика Беларусь, «умный город», энергосбережение, прогнозирование временных рядов.</w:t>
      </w:r>
    </w:p>
    <w:p w:rsidR="00F8531B" w:rsidRDefault="00F8531B" w:rsidP="005465C3">
      <w:pPr>
        <w:spacing w:after="0" w:line="240" w:lineRule="auto"/>
        <w:ind w:firstLine="709"/>
        <w:jc w:val="both"/>
        <w:rPr>
          <w:rFonts w:ascii="Times New Roman" w:hAnsi="Times New Roman" w:cs="Times New Roman"/>
          <w:sz w:val="24"/>
          <w:szCs w:val="24"/>
        </w:rPr>
      </w:pPr>
    </w:p>
    <w:p w:rsidR="00F8531B" w:rsidRDefault="0076058D" w:rsidP="005465C3">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lastRenderedPageBreak/>
        <w:t>Реализация целей устойчивого развития, особенно 7, 9, 11 и 13, касающихся чистой энергии, инноваций, развития городов и климатических мер, требует радикальной реорганизации энергетической системы белорусских городов. Именно на городских агломерациях, где сосредоточено свыше 78% жителей страны, генерируется основной объем потребления тепловой и электрической энергии. В рамках Государственной программы «Энергосбережение» на 2021–2025 годы, утвержденной постановлением Совета Министров РБ, снижение энергоёмкости ВВП закреплено как приоритетная задача. Тем не менее, устаревшие подходы к управлению городскими сетями, опирающиеся на статичные модели и экспертные суждения, не способны адекватно реагировать на динамичные внешние факторы: суточные и сезонные температурные колебания, свойственные умеренно-континентальному климату Беларуси, а также на активность населения и графики работы промышленности и транспорта. Цифровые технологии, базирующиеся на строгих естественнонаучных принципах, предлагают инновационное решение этой проблемы через предиктивную аналитику больших данных с использованием методов машинного обучения [1, с. 45; 2, с. 112].</w:t>
      </w:r>
    </w:p>
    <w:p w:rsidR="00F8531B" w:rsidRDefault="0076058D" w:rsidP="005465C3">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Научная составляющая исследования опирается на моделирование процессов теплообмена и электродинамики в урбанизированной среде, рассматриваемых как нелинейные динамические системы. Любая инженерная сеть в Беларуси — от минских теплосетей и гродненских электросетей до систем ГВС в Бресте или могилевских котельных — подчиняется базовым законам сохранения энергии и массы. Математическая постановка задачи оптимизации энергопотребления сводится к минимизации функции потерь, определяемой как разность между прогнозируемым и реальным расходом энергии, с учетом ограничений, заданных первым и вторым началами термодинамики. Важным аспектом является инерционность теплофизических процессов: например, панельные дома 464-й серии, типичные для белорусских городов, нагреваются и остывают существенно медленнее сооружений из газосиликатных блоков. Для Беларуси климатический фактор играет ключевую роль: продолжительность отопительного сезона составляет в среднем 198–202 дня, а перепад температур между зимой и летом может достигать 50 °C, что создает экстремальные нагрузки на системы теплоснабжения. Цифровые технологии здесь выступают не как самостоятельный инструмент, а как надстройка над естественнонаучной базой, позволяющая решать обратные задачи теплопроводности и электродинамики в реальном времени при приемлемой вычислительной сложности [3, с. 208; 4, с. 33].</w:t>
      </w:r>
    </w:p>
    <w:p w:rsidR="00F8531B" w:rsidRDefault="0076058D" w:rsidP="005465C3">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Для оптимизации энергопотребления в городах Беларуси выделяются три наиболее результативных подхода машинного обучения. К первому относится градиентный бустинг на деревьях решений </w:t>
      </w:r>
      <w:r>
        <w:rPr>
          <w:rFonts w:ascii="Times New Roman" w:hAnsi="Times New Roman" w:cs="Times New Roman"/>
          <w:sz w:val="28"/>
          <w:szCs w:val="24"/>
        </w:rPr>
        <w:lastRenderedPageBreak/>
        <w:t>(библиотеки XGBoost и LightGBM). Этот инструмент эффективно классифицирует пиковые нагрузки и обнаруживает аномалии, анализируя табличные данные, включающие время, день недели, погодные условия (температуру, влажность, ветер) и характеристики зданий. Особенно важна температура воздуха, так как белорусские зимы часто бывают суровыми, с морозами до -25°C. Второй класс составляют рекуррентные нейронные сети с долгой краткосрочной памятью (LSTM). Они предназначены для работы с временными рядами и могут сохранять зависимости на протяжении сотен шагов. LSTM считаются эталоном для прогнозирования потребления энергии на сутки вперед, поскольку учитывают сезонные изменения, суточные ритмы и корреляции после устранения тренда. Третий класс — свёрточные нейронные сети (CNN). Изначально созданные для обработки изображений, в данном контексте они анализируют пространственное распределение нагрузок. Сеть распознает паттерны на карте города, например, фиксируя одновременное включение отопления в жилых районах, таких как Сторожевка, и его отключение в центре [5, с. 56–60].</w:t>
      </w:r>
    </w:p>
    <w:p w:rsidR="00F8531B" w:rsidRDefault="0076058D" w:rsidP="005465C3">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 Республике Беларусь цифровая платформа, объединяющая описанные технологии, получает входные данные из трех ключевых источников. Первым из них выступают интеллектуальные приборы учета электроэнергии, тепловой энергии и воды, которые массово устанавливаются в рамках государственной программы цифровизации ЖКХ. Согласно статистике Министерства энергетики, к 2025 году доля населения Минска, обеспеченная автоматизированным учетом электроэнергии, превысит 80%. Вторым источником служат метеостанции Белгидромета, предоставляющие почасовые и трехчасовые прогнозы температуры, осадков, облачности и ветра для областных центров. Третий источник включает городские информационные системы: расписания работы образовательных и медицинских учреждений, графики движения общественного транспорта (включая метро и автобусные парки), а также данные о загруженности дорог, позволяющие косвенно определять пики активности населения. Вся собранная информация направляется в единое хранилище, где проходит очистку, нормализацию и агрегацию до получасовых интервалов перед подачей на вход моделей машинного обучения. Результатом работы системы становятся управляющие команды для исполнительных устройств: регулирующих клапанов тепловых сетей, частотных преобразователей насосных станций и контроллеров уличного освещения [6, с. 102]. Главным ограничивающим фактором, сдерживающим эффективность данного подхода в белорусских реалиях, выступает комбинация высокой тепловой инерции зданий советской и постсоветской эпох, а также продолжительного отопительного сезона. Хотя в электросетях переходные процессы происходят практически мгновенно, в системах централизованного теплоснабжения, являющихся </w:t>
      </w:r>
      <w:r>
        <w:rPr>
          <w:rFonts w:ascii="Times New Roman" w:hAnsi="Times New Roman" w:cs="Times New Roman"/>
          <w:sz w:val="28"/>
          <w:szCs w:val="24"/>
        </w:rPr>
        <w:lastRenderedPageBreak/>
        <w:t>основой городского теплообеспечения, ситуация иная. Постоянная времени нагрева и остывания для типовых панельных домов серий 464, 467 и ММ-03 варьируется от 1,5 до 3 часов, тогда как для старых кирпичных строений в исторических центрах Полоцка, Гродно и Несвижа этот показатель может достигать 5–6 часов. Алгоритмы, игнорирующие такую инерционность, будут генерировать чрезмерно частые или резкие управляющие команды, которые физически не могут быть реализованы системой. В этом контексте преимущества показывают сети LSTM: благодаря механизму «забывающих ворот» они способны сохранять состояние теплового баланса во внутренней памяти и формировать сглаженные управляющие воздействия, соответствующие реальной тепловой инерции объекта. Тем не менее, сохраняется проблема «проклятия размерности»: при масштабировании на тысячи многоквартирных домов (в Минске их свыше девяти тысяч) объём данных для обучения и время переобучения моделей увеличиваются квадратично. Это диктует необходимость перехода от единой глобальной модели к ансамблю локальных моделей, обслуживающих отдельные жилые массивы, с последующей агрегацией их решений через мета-алгоритм [7, с. 330].</w:t>
      </w:r>
      <w:r>
        <w:rPr>
          <w:rFonts w:ascii="Times New Roman" w:hAnsi="Times New Roman" w:cs="Times New Roman"/>
        </w:rPr>
        <w:t xml:space="preserve"> </w:t>
      </w:r>
      <w:r>
        <w:rPr>
          <w:rFonts w:ascii="Times New Roman" w:hAnsi="Times New Roman" w:cs="Times New Roman"/>
          <w:sz w:val="28"/>
          <w:szCs w:val="24"/>
        </w:rPr>
        <w:t xml:space="preserve">Пилотный проект по внедрению новой системы был реализован в жилом районе Каменная Горка, который характерен для белорусского жилищного фонда, построенного в период с 2000 по 2010 год и состоящего из панельных домов с индивидуальными тепловыми пунктами. Сбор данных осуществлялся на протяжении двух отопительных сезонов, с 2022 по 2024 год, при поддержке РУП «Минскэнерго» и ряда других организаций. Изначальный набор данных включал почасовые показания 230 интеллектуальных счетчиков электроэнергии, информацию с 50 тепловых узлов, а также метеорологические данные. Архитектура модели состоит из двух уровней: LSTM-сети для каждого типа зданий и градиентного бустинга для общего прогноза. Результаты показали снижение перерасхода тепловой энергии на 18,7% в ночное время, уменьшение выбросов </w:t>
      </w:r>
      <w:r w:rsidRPr="005465C3">
        <w:rPr>
          <w:rFonts w:ascii="Times New Roman" w:hAnsi="Times New Roman" w:cs="Times New Roman"/>
          <w:sz w:val="28"/>
          <w:szCs w:val="24"/>
        </w:rPr>
        <w:t>CO</w:t>
      </w:r>
      <w:r w:rsidRPr="005465C3">
        <w:rPr>
          <w:rFonts w:ascii="Times New Roman" w:hAnsi="Times New Roman" w:cs="Times New Roman"/>
          <w:sz w:val="28"/>
          <w:szCs w:val="24"/>
          <w:vertAlign w:val="subscript"/>
        </w:rPr>
        <w:t>2</w:t>
      </w:r>
      <w:r>
        <w:rPr>
          <w:rFonts w:ascii="Times New Roman" w:hAnsi="Times New Roman" w:cs="Times New Roman"/>
          <w:sz w:val="28"/>
          <w:szCs w:val="24"/>
        </w:rPr>
        <w:t xml:space="preserve"> на 9,3 тыс. тонн и достижение точности прогноза теплопотребления на уровне 95,9% с ошибкой 1,8 Гкал. На основе результатов разработаны рекомендации для Министерства энергетики и жилищно-коммунального хозяйства Беларуси: аудит приборной базы: замена механических счетчиков на цифровые с опросом не реже одного раза в час; создание открытой платформы данных: интеграция метеопрогнозов, графиков общественного транспорта и других данных для обучения моделей; подготовка кадров: расширение магистерских программ по направлениям «Цифровая энергетика» и «Интеллектуальные системы управления» адаптация алгоритмов: доработка для зданий с индивидуальными тепловыми пунктами.</w:t>
      </w:r>
    </w:p>
    <w:p w:rsidR="00F8531B" w:rsidRDefault="0076058D" w:rsidP="005465C3">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Цифровые технологии машинного обучения являются ключевыми для устойчивого развития городов Беларуси, однако они не решат </w:t>
      </w:r>
      <w:r>
        <w:rPr>
          <w:rFonts w:ascii="Times New Roman" w:hAnsi="Times New Roman" w:cs="Times New Roman"/>
          <w:sz w:val="28"/>
          <w:szCs w:val="24"/>
        </w:rPr>
        <w:lastRenderedPageBreak/>
        <w:t>проблемы, связанные с устаревшей инфраструктурой, приводящей к значительным потерям тепла в сетях.</w:t>
      </w:r>
    </w:p>
    <w:p w:rsidR="005465C3" w:rsidRDefault="005465C3" w:rsidP="005465C3">
      <w:pPr>
        <w:spacing w:after="0" w:line="240" w:lineRule="auto"/>
        <w:ind w:firstLine="709"/>
        <w:jc w:val="center"/>
        <w:rPr>
          <w:rFonts w:ascii="Times New Roman" w:hAnsi="Times New Roman" w:cs="Times New Roman"/>
          <w:b/>
          <w:bCs/>
          <w:sz w:val="24"/>
          <w:szCs w:val="24"/>
        </w:rPr>
      </w:pPr>
    </w:p>
    <w:p w:rsidR="00F8531B" w:rsidRPr="00302646" w:rsidRDefault="0076058D" w:rsidP="005465C3">
      <w:pPr>
        <w:spacing w:after="0" w:line="240" w:lineRule="auto"/>
        <w:ind w:firstLine="709"/>
        <w:jc w:val="center"/>
        <w:rPr>
          <w:rFonts w:ascii="Times New Roman" w:hAnsi="Times New Roman" w:cs="Times New Roman"/>
          <w:b/>
          <w:bCs/>
          <w:sz w:val="28"/>
          <w:szCs w:val="28"/>
        </w:rPr>
      </w:pPr>
      <w:r w:rsidRPr="00302646">
        <w:rPr>
          <w:rFonts w:ascii="Times New Roman" w:hAnsi="Times New Roman" w:cs="Times New Roman"/>
          <w:b/>
          <w:bCs/>
          <w:sz w:val="28"/>
          <w:szCs w:val="28"/>
        </w:rPr>
        <w:t>Список литературы</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Васильев Ф. П. Численные методы решения экстремальных задач. — М.: Физматлит, 2020. — 552 с.</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Гудфеллоу Я., Бенджио И., Курвилль А. Глубокое обучение / пер. с англ. под ред. А. А. Слинкина. — 2-е изд., испр. — М.: ДМК Пресс, 2018. — 652 с.</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3.Государственная программа «Энергосбережение» на 2021–2025 годы: утв. постановлением Совета Министров Республики Беларусь от 19 марта 2021 г. № 152. — Минск, 2021. — 142 с.</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Михалевич А. А. Энергетическая эффективность городских систем теплоснабжения Беларуси: современное состояние и перспективы. — Минск: Беларуская навука, 2022. — 186 с.</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Отчёт о результатах пилотного проекта по внедрению интеллектуальной системы прогнозирования энергопотребления в микрорайоне Каменная Горка г. Минска / РУП «Минскэнерго», Департамент по энергоэффективности Госстандарта Республики Беларусь. — Минск, 2024. — 86 с.</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Розенберг И. Н., Шапиро В. Д. Цифровая трансформация городской инфраструктуры. — СПб.: Лань, 2022. — 304 с.</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Савин А. Н. Энергоэффективность и устойчивое развитие: естественнонаучные основы. — М.: Наука, 2021. — 198 с.</w:t>
      </w:r>
    </w:p>
    <w:p w:rsidR="00F8531B" w:rsidRDefault="0076058D" w:rsidP="005465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Хохряков Е. И., Макаров С. А. Применение LSTM-сетей в задачах краткосрочного прогнозирования электропотребления // Известия РАН. Энергетика. — 2023. — № 4. — С. 52–65.</w:t>
      </w:r>
    </w:p>
    <w:p w:rsidR="00122198" w:rsidRDefault="00122198" w:rsidP="00CA59B8">
      <w:pPr>
        <w:tabs>
          <w:tab w:val="left" w:pos="2478"/>
        </w:tabs>
        <w:spacing w:after="0" w:line="240" w:lineRule="auto"/>
        <w:ind w:firstLine="709"/>
        <w:jc w:val="center"/>
        <w:rPr>
          <w:rFonts w:ascii="Times New Roman" w:hAnsi="Times New Roman" w:cs="Times New Roman"/>
          <w:b/>
          <w:sz w:val="28"/>
        </w:rPr>
      </w:pPr>
    </w:p>
    <w:p w:rsidR="00F8531B" w:rsidRDefault="0076058D" w:rsidP="00CA59B8">
      <w:pPr>
        <w:tabs>
          <w:tab w:val="left" w:pos="2478"/>
        </w:tabs>
        <w:spacing w:after="0" w:line="240" w:lineRule="auto"/>
        <w:ind w:firstLine="709"/>
        <w:jc w:val="center"/>
        <w:rPr>
          <w:rFonts w:ascii="Times New Roman" w:hAnsi="Times New Roman" w:cs="Times New Roman"/>
          <w:b/>
          <w:sz w:val="28"/>
        </w:rPr>
      </w:pPr>
      <w:r>
        <w:rPr>
          <w:rFonts w:ascii="Times New Roman" w:hAnsi="Times New Roman" w:cs="Times New Roman"/>
          <w:b/>
          <w:sz w:val="28"/>
        </w:rPr>
        <w:t xml:space="preserve">ОПЫТ РАЗРАБОТКИ ЭЛЕКТРОННЫХ УЧЕБНЫХ ПОСОБИЙ ПО ОРГАНИЧЕСКОЙ ХИМИИ </w:t>
      </w:r>
    </w:p>
    <w:p w:rsidR="00F8531B" w:rsidRDefault="00F8531B" w:rsidP="00CA59B8">
      <w:pPr>
        <w:tabs>
          <w:tab w:val="left" w:pos="2478"/>
        </w:tabs>
        <w:spacing w:after="0" w:line="240" w:lineRule="auto"/>
        <w:ind w:firstLine="709"/>
        <w:jc w:val="right"/>
        <w:rPr>
          <w:rFonts w:ascii="Times New Roman" w:hAnsi="Times New Roman" w:cs="Times New Roman"/>
          <w:b/>
          <w:i/>
          <w:sz w:val="28"/>
        </w:rPr>
      </w:pPr>
    </w:p>
    <w:p w:rsidR="00F8531B" w:rsidRDefault="0076058D" w:rsidP="00CA59B8">
      <w:pPr>
        <w:tabs>
          <w:tab w:val="left" w:pos="2478"/>
        </w:tabs>
        <w:spacing w:after="0" w:line="240" w:lineRule="auto"/>
        <w:ind w:firstLine="709"/>
        <w:jc w:val="center"/>
        <w:rPr>
          <w:rFonts w:ascii="Times New Roman" w:hAnsi="Times New Roman" w:cs="Times New Roman"/>
          <w:b/>
          <w:sz w:val="28"/>
        </w:rPr>
      </w:pPr>
      <w:r>
        <w:rPr>
          <w:rFonts w:ascii="Times New Roman" w:hAnsi="Times New Roman" w:cs="Times New Roman"/>
          <w:b/>
          <w:sz w:val="28"/>
        </w:rPr>
        <w:t>Лысова Валентина Антоновна</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заведующий кафедрой естествознания</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учреждения образования «Могилевский государственный университет</w:t>
      </w:r>
      <w:r w:rsidR="00CA59B8">
        <w:rPr>
          <w:rFonts w:ascii="Times New Roman" w:hAnsi="Times New Roman" w:cs="Times New Roman"/>
          <w:sz w:val="28"/>
        </w:rPr>
        <w:t xml:space="preserve"> </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имени А.А. Кулешова»; кандидат технических  наук, доцент</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(г. Могилев, Беларусь)</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lang w:val="en-US"/>
        </w:rPr>
        <w:t>sedakova</w:t>
      </w:r>
      <w:r>
        <w:rPr>
          <w:rFonts w:ascii="Times New Roman" w:hAnsi="Times New Roman" w:cs="Times New Roman"/>
          <w:sz w:val="28"/>
        </w:rPr>
        <w:t>@</w:t>
      </w:r>
      <w:r>
        <w:rPr>
          <w:rFonts w:ascii="Times New Roman" w:hAnsi="Times New Roman" w:cs="Times New Roman"/>
          <w:sz w:val="28"/>
          <w:lang w:val="en-US"/>
        </w:rPr>
        <w:t>m</w:t>
      </w:r>
      <w:r>
        <w:rPr>
          <w:rFonts w:ascii="Times New Roman" w:hAnsi="Times New Roman" w:cs="Times New Roman"/>
          <w:sz w:val="28"/>
        </w:rPr>
        <w:t>.</w:t>
      </w:r>
      <w:r>
        <w:rPr>
          <w:rFonts w:ascii="Times New Roman" w:hAnsi="Times New Roman" w:cs="Times New Roman"/>
          <w:sz w:val="28"/>
          <w:lang w:val="en-US"/>
        </w:rPr>
        <w:t>msu</w:t>
      </w:r>
      <w:r>
        <w:rPr>
          <w:rFonts w:ascii="Times New Roman" w:hAnsi="Times New Roman" w:cs="Times New Roman"/>
          <w:sz w:val="28"/>
        </w:rPr>
        <w:t>.</w:t>
      </w:r>
      <w:r>
        <w:rPr>
          <w:rFonts w:ascii="Times New Roman" w:hAnsi="Times New Roman" w:cs="Times New Roman"/>
          <w:sz w:val="28"/>
          <w:lang w:val="en-US"/>
        </w:rPr>
        <w:t>by</w:t>
      </w:r>
    </w:p>
    <w:p w:rsidR="00F8531B" w:rsidRDefault="0076058D" w:rsidP="00CA59B8">
      <w:pPr>
        <w:tabs>
          <w:tab w:val="left" w:pos="2478"/>
        </w:tabs>
        <w:spacing w:after="0" w:line="240" w:lineRule="auto"/>
        <w:ind w:firstLine="709"/>
        <w:jc w:val="center"/>
        <w:rPr>
          <w:rFonts w:ascii="Times New Roman" w:hAnsi="Times New Roman" w:cs="Times New Roman"/>
          <w:b/>
          <w:sz w:val="28"/>
        </w:rPr>
      </w:pPr>
      <w:r>
        <w:rPr>
          <w:rFonts w:ascii="Times New Roman" w:hAnsi="Times New Roman" w:cs="Times New Roman"/>
          <w:b/>
          <w:sz w:val="28"/>
        </w:rPr>
        <w:t>Семенова Юлия Владимировна</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студент факультета математики и естествознания</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учреждения образования «Могилевский государственный университет</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 xml:space="preserve">имени А.А. Кулешова»; </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(г. Могилев, Беларусь)</w:t>
      </w:r>
    </w:p>
    <w:p w:rsidR="00F8531B" w:rsidRDefault="006266D1" w:rsidP="00CA59B8">
      <w:pPr>
        <w:tabs>
          <w:tab w:val="left" w:pos="2478"/>
        </w:tabs>
        <w:spacing w:after="0" w:line="240" w:lineRule="auto"/>
        <w:ind w:firstLine="709"/>
        <w:jc w:val="center"/>
        <w:rPr>
          <w:rFonts w:ascii="Times New Roman" w:hAnsi="Times New Roman" w:cs="Times New Roman"/>
          <w:sz w:val="28"/>
        </w:rPr>
      </w:pPr>
      <w:hyperlink r:id="rId9" w:history="1">
        <w:r w:rsidR="0076058D">
          <w:rPr>
            <w:rFonts w:ascii="Times New Roman" w:hAnsi="Times New Roman" w:cs="Times New Roman"/>
            <w:sz w:val="28"/>
            <w:lang w:val="en-US"/>
          </w:rPr>
          <w:t>yulka</w:t>
        </w:r>
        <w:r w:rsidR="0076058D">
          <w:rPr>
            <w:rFonts w:ascii="Times New Roman" w:hAnsi="Times New Roman" w:cs="Times New Roman"/>
            <w:sz w:val="28"/>
          </w:rPr>
          <w:t>.</w:t>
        </w:r>
        <w:r w:rsidR="0076058D">
          <w:rPr>
            <w:rFonts w:ascii="Times New Roman" w:hAnsi="Times New Roman" w:cs="Times New Roman"/>
            <w:sz w:val="28"/>
            <w:lang w:val="en-US"/>
          </w:rPr>
          <w:t>semenova</w:t>
        </w:r>
        <w:r w:rsidR="0076058D">
          <w:rPr>
            <w:rFonts w:ascii="Times New Roman" w:hAnsi="Times New Roman" w:cs="Times New Roman"/>
            <w:sz w:val="28"/>
          </w:rPr>
          <w:t>.200@</w:t>
        </w:r>
        <w:r w:rsidR="0076058D">
          <w:rPr>
            <w:rFonts w:ascii="Times New Roman" w:hAnsi="Times New Roman" w:cs="Times New Roman"/>
            <w:sz w:val="28"/>
            <w:lang w:val="en-US"/>
          </w:rPr>
          <w:t>gmail</w:t>
        </w:r>
        <w:r w:rsidR="0076058D">
          <w:rPr>
            <w:rFonts w:ascii="Times New Roman" w:hAnsi="Times New Roman" w:cs="Times New Roman"/>
            <w:sz w:val="28"/>
          </w:rPr>
          <w:t>.</w:t>
        </w:r>
        <w:r w:rsidR="0076058D">
          <w:rPr>
            <w:rFonts w:ascii="Times New Roman" w:hAnsi="Times New Roman" w:cs="Times New Roman"/>
            <w:sz w:val="28"/>
            <w:lang w:val="en-US"/>
          </w:rPr>
          <w:t>com</w:t>
        </w:r>
      </w:hyperlink>
    </w:p>
    <w:p w:rsidR="00F8531B" w:rsidRDefault="0076058D" w:rsidP="00CA59B8">
      <w:pPr>
        <w:tabs>
          <w:tab w:val="left" w:pos="2478"/>
        </w:tabs>
        <w:spacing w:after="0" w:line="240" w:lineRule="auto"/>
        <w:ind w:firstLine="709"/>
        <w:jc w:val="center"/>
        <w:rPr>
          <w:rFonts w:ascii="Times New Roman" w:hAnsi="Times New Roman" w:cs="Times New Roman"/>
          <w:b/>
          <w:sz w:val="28"/>
        </w:rPr>
      </w:pPr>
      <w:r>
        <w:rPr>
          <w:rFonts w:ascii="Times New Roman" w:hAnsi="Times New Roman" w:cs="Times New Roman"/>
          <w:b/>
          <w:sz w:val="28"/>
        </w:rPr>
        <w:t>Володченко Александра Александровна</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студент факультета математики и естествознания</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lastRenderedPageBreak/>
        <w:t>учреждения образования «Могилевский государственный университет</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 xml:space="preserve">имени А.А. Кулешова»; </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rPr>
        <w:t>(г. Могилев, Беларусь)</w:t>
      </w:r>
    </w:p>
    <w:p w:rsidR="00F8531B" w:rsidRDefault="0076058D" w:rsidP="00CA59B8">
      <w:pPr>
        <w:tabs>
          <w:tab w:val="left" w:pos="2478"/>
        </w:tabs>
        <w:spacing w:after="0" w:line="240" w:lineRule="auto"/>
        <w:ind w:firstLine="709"/>
        <w:jc w:val="center"/>
        <w:rPr>
          <w:rFonts w:ascii="Times New Roman" w:hAnsi="Times New Roman" w:cs="Times New Roman"/>
          <w:sz w:val="28"/>
        </w:rPr>
      </w:pPr>
      <w:r>
        <w:rPr>
          <w:rFonts w:ascii="Times New Roman" w:hAnsi="Times New Roman" w:cs="Times New Roman"/>
          <w:sz w:val="28"/>
          <w:lang w:val="en-US"/>
        </w:rPr>
        <w:t>avolodcenko</w:t>
      </w:r>
      <w:r>
        <w:rPr>
          <w:rFonts w:ascii="Times New Roman" w:hAnsi="Times New Roman" w:cs="Times New Roman"/>
          <w:sz w:val="28"/>
        </w:rPr>
        <w:t>708@</w:t>
      </w:r>
      <w:r>
        <w:rPr>
          <w:rFonts w:ascii="Times New Roman" w:hAnsi="Times New Roman" w:cs="Times New Roman"/>
          <w:sz w:val="28"/>
          <w:lang w:val="en-US"/>
        </w:rPr>
        <w:t>gmail</w:t>
      </w:r>
      <w:r>
        <w:rPr>
          <w:rFonts w:ascii="Times New Roman" w:hAnsi="Times New Roman" w:cs="Times New Roman"/>
          <w:sz w:val="28"/>
        </w:rPr>
        <w:t>.</w:t>
      </w:r>
      <w:r>
        <w:rPr>
          <w:rFonts w:ascii="Times New Roman" w:hAnsi="Times New Roman" w:cs="Times New Roman"/>
          <w:sz w:val="28"/>
          <w:lang w:val="en-US"/>
        </w:rPr>
        <w:t>com</w:t>
      </w:r>
    </w:p>
    <w:p w:rsidR="00F8531B" w:rsidRDefault="00F8531B" w:rsidP="00CA59B8">
      <w:pPr>
        <w:tabs>
          <w:tab w:val="left" w:pos="2478"/>
        </w:tabs>
        <w:spacing w:after="0" w:line="240" w:lineRule="auto"/>
        <w:ind w:firstLine="709"/>
        <w:jc w:val="center"/>
        <w:rPr>
          <w:rFonts w:ascii="Times New Roman" w:hAnsi="Times New Roman" w:cs="Times New Roman"/>
          <w:sz w:val="28"/>
        </w:rPr>
      </w:pPr>
    </w:p>
    <w:p w:rsidR="00F8531B" w:rsidRDefault="0076058D" w:rsidP="00CA59B8">
      <w:pPr>
        <w:tabs>
          <w:tab w:val="left" w:pos="2478"/>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Аннотация</w:t>
      </w:r>
      <w:r>
        <w:rPr>
          <w:rFonts w:ascii="Times New Roman" w:hAnsi="Times New Roman" w:cs="Times New Roman"/>
          <w:sz w:val="24"/>
          <w:szCs w:val="24"/>
        </w:rPr>
        <w:t xml:space="preserve">. Статья посвящена вопросу разработки учебных электронных пособий по некоторым темам органической химии. Приведены два варианта реализации учебных электронных пособий: онлайн пособие через </w:t>
      </w:r>
      <w:r>
        <w:rPr>
          <w:rFonts w:ascii="Times New Roman" w:hAnsi="Times New Roman" w:cs="Times New Roman"/>
          <w:sz w:val="24"/>
          <w:szCs w:val="24"/>
          <w:lang w:val="en-US"/>
        </w:rPr>
        <w:t>web</w:t>
      </w:r>
      <w:r>
        <w:rPr>
          <w:rFonts w:ascii="Times New Roman" w:hAnsi="Times New Roman" w:cs="Times New Roman"/>
          <w:sz w:val="24"/>
          <w:szCs w:val="24"/>
        </w:rPr>
        <w:t>-сайт и офлайн – через специализированное приложение. В статье обосновывается структура пособия и фактический материал для его наполнения.</w:t>
      </w:r>
    </w:p>
    <w:p w:rsidR="00F8531B" w:rsidRDefault="0076058D" w:rsidP="00CA59B8">
      <w:pPr>
        <w:tabs>
          <w:tab w:val="left" w:pos="2478"/>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Ключевые слова</w:t>
      </w:r>
      <w:r>
        <w:rPr>
          <w:rFonts w:ascii="Times New Roman" w:hAnsi="Times New Roman" w:cs="Times New Roman"/>
          <w:sz w:val="24"/>
          <w:szCs w:val="24"/>
        </w:rPr>
        <w:t>. Учебное электронное пособие, амины, карбонильные соединения, вопросы для самоконтроля, тестовые задания, цепочки химических превращений.</w:t>
      </w:r>
    </w:p>
    <w:p w:rsidR="00F8531B" w:rsidRDefault="0076058D" w:rsidP="00CA59B8">
      <w:pPr>
        <w:tabs>
          <w:tab w:val="left" w:pos="2478"/>
        </w:tabs>
        <w:spacing w:after="0" w:line="240" w:lineRule="auto"/>
        <w:ind w:firstLine="709"/>
        <w:jc w:val="both"/>
        <w:rPr>
          <w:rFonts w:ascii="Times New Roman" w:hAnsi="Times New Roman" w:cs="Times New Roman"/>
          <w:i/>
          <w:sz w:val="28"/>
        </w:rPr>
      </w:pPr>
      <w:r>
        <w:rPr>
          <w:rFonts w:ascii="Times New Roman" w:hAnsi="Times New Roman" w:cs="Times New Roman"/>
          <w:i/>
          <w:sz w:val="28"/>
        </w:rPr>
        <w:t xml:space="preserve">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xml:space="preserve">На сегодняшний день очевидно, что современные тенденции развития образования связанны с активной цифровизацией учебного процесса. Одним из важных направлений в этой сфере является использование электронных учебных пособий, которые становятся эффективным инструментом поддержки учебного процесса. Подобные пособия позволяют не только представить теоретический материал в интерактивной и наглядной форме, но и обеспечить индивидуализацию обучения, повышение мотивации и вовлечённости обучающихся, а также контроль усвоения знаний в режиме реального времени. В условиях развития дистанционного и смешанного обучения, а также необходимости адаптации образовательных программ к потребностям различных категорий студентов, электронные учебные пособия становятся незаменимым ресурсом как для преподавателей, так и для обучающихся.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xml:space="preserve">При изучении химических дисциплин использование электронных учебных пособий приобретает особую значимость. В частности при изучении органической химии у студентов возникают сложности с пониманием взаимосвязи строения органических молекул с их свойствами. Что отчасти связано с необходимостью пространственного мышления для анализа возможных электронных эффектов отдельных атомов и/или групп атомов в пределах органических молекул. Такие темы, как карбонильные соединения (альдегиды и кетоны) и азотсодержащие органические соединения (амины), являются достаточно сложными для восприятия, поскольку необходимо понимание строения молекул, механизмов реакций и взаимосвязи между структурой и свойствами веществ. Использование традиционных печатных учебников не всегда позволяет в полной мере обеспечить наглядность и глубину понимания материала. В связи с вышеизложенным, нами была поставлена цель: разработать электронные учебные пособия по двум темам органической химии: «Карбонильные соединения» и «Амины».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lastRenderedPageBreak/>
        <w:t xml:space="preserve">При разработке электронных учебных пособий были рассмотрены и проанализированы разные программные средства: авторские системы разработки курсов, платформы дистанционного обучения, а также конструкторы интерактивных заданий и мультимедийного контента. В частности, проанализированы такие программные продукты, как Adobe Captivate, Articulate Storyline, iSpring Suite, Lectora Inspire, универсальные среды разработки на основе </w:t>
      </w:r>
      <w:r>
        <w:rPr>
          <w:sz w:val="28"/>
          <w:szCs w:val="28"/>
        </w:rPr>
        <w:t>HTML</w:t>
      </w:r>
      <w:r>
        <w:rPr>
          <w:sz w:val="28"/>
          <w:szCs w:val="28"/>
          <w:lang w:val="ru-RU"/>
        </w:rPr>
        <w:t xml:space="preserve">5, </w:t>
      </w:r>
      <w:r>
        <w:rPr>
          <w:sz w:val="28"/>
          <w:szCs w:val="28"/>
        </w:rPr>
        <w:t>CSS</w:t>
      </w:r>
      <w:r>
        <w:rPr>
          <w:sz w:val="28"/>
          <w:szCs w:val="28"/>
          <w:lang w:val="ru-RU"/>
        </w:rPr>
        <w:t xml:space="preserve">3 и </w:t>
      </w:r>
      <w:r>
        <w:rPr>
          <w:sz w:val="28"/>
          <w:szCs w:val="28"/>
        </w:rPr>
        <w:t>JavaScript</w:t>
      </w:r>
      <w:r>
        <w:rPr>
          <w:sz w:val="28"/>
          <w:szCs w:val="28"/>
          <w:lang w:val="ru-RU"/>
        </w:rPr>
        <w:t xml:space="preserve">; а также специализированное программное обеспечение для визуализации молекулярных структур, включая </w:t>
      </w:r>
      <w:r>
        <w:rPr>
          <w:sz w:val="28"/>
          <w:szCs w:val="28"/>
        </w:rPr>
        <w:t>Avogadro</w:t>
      </w:r>
      <w:r>
        <w:rPr>
          <w:sz w:val="28"/>
          <w:szCs w:val="28"/>
          <w:lang w:val="ru-RU"/>
        </w:rPr>
        <w:t xml:space="preserve">, </w:t>
      </w:r>
      <w:r>
        <w:rPr>
          <w:sz w:val="28"/>
          <w:szCs w:val="28"/>
        </w:rPr>
        <w:t>JSmol</w:t>
      </w:r>
      <w:r>
        <w:rPr>
          <w:sz w:val="28"/>
          <w:szCs w:val="28"/>
          <w:lang w:val="ru-RU"/>
        </w:rPr>
        <w:t xml:space="preserve">, </w:t>
      </w:r>
      <w:r>
        <w:rPr>
          <w:sz w:val="28"/>
          <w:szCs w:val="28"/>
        </w:rPr>
        <w:t>ChemDraw</w:t>
      </w:r>
      <w:r>
        <w:rPr>
          <w:sz w:val="28"/>
          <w:szCs w:val="28"/>
          <w:lang w:val="ru-RU"/>
        </w:rPr>
        <w:t xml:space="preserve">, </w:t>
      </w:r>
      <w:r>
        <w:rPr>
          <w:sz w:val="28"/>
          <w:szCs w:val="28"/>
        </w:rPr>
        <w:t>ChemSketch</w:t>
      </w:r>
      <w:r>
        <w:rPr>
          <w:sz w:val="28"/>
          <w:szCs w:val="28"/>
          <w:lang w:val="ru-RU"/>
        </w:rPr>
        <w:t xml:space="preserve">, Genially и Canva. Сравнительный анализ показал, что профессиональные системы обладают широкими возможностями создания интерактивных курсов, однако требуют значительных временных затрат на освоение, наличия лицензий и достаточно высокого уровня подготовки пользователя.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В результате для разработки электронного учебного пособия по теме «Амины» было принято решение отказаться от использования специализированных авторских программ в пользу разработки электронного учебного пособия в формате веб-сайта с использованием HTML. Такой подход обеспечил ряд преимуществ:</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отсутствие необходимости установки дополнительного программного обеспечения и возможностью использования на любых устройствах;</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xml:space="preserve">– удобство обновления и редактирования материала;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возможность реализации интерактивных элементов с помощью веб-технологий.</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xml:space="preserve">Для разработки электронно учебного пособия по теме «Карбонильные соединения» была выбрана программа Kotobee Author, что обусловлено рядом преимуществ: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простота освоения и наличие русскоязычного интерфейса, что позволяет преподавателю-предметнику сосредоточиться на содержании, а не на технических аспектах разработки;</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xml:space="preserve">- поддержка интерактивных трёхмерных моделей молекул (ключевая функция для органической химии), которые можно вращать, масштабировать и изучать со всех сторон, что обеспечивает наглядность при изучении пространственного строения органических молекул;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программа имеет встроенный конструктор тестов и вопросов с возможностью автоматической проверки и немедленной обратной связью;</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xml:space="preserve">- Kotobee Author предлагает гибкую систему экспорта: пособие можно сохранить в форматах EPUB, PDF, MOBI, создать автономное приложение для Windows или macOS, нативное мобильное приложение для Android или iOS, веб-приложение на HTML5, а также экспортировать в форматы SCORM для интеграции с системами дистанционного обучения, такими как Moodle.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lastRenderedPageBreak/>
        <w:t>К недостаткам программы можно отнести ограничения бесплатной версии – отсутствие экспорта в SCORM, создания мобильных приложений и наличие водяных знаков, а также поддержку только формата .obj для трёхмерных моделей.</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Важным этапом при разработке пособия является его структура. Нами был использован единый подход при разработке структуры пособий, в частности выделено две части:</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1 - теоретическая часть, где приведены основные определения, классификация и номенклатура рассматриваемых классов соединений, способы получения, особенности протекания химических реакций с их участием, а так же основные способы получения;</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xml:space="preserve">2 - практическая часть, которая состоит из трёх блоков: </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вопросов для самоконтроля, направленных на проверку знания основных понятий и определений, химических свойств и способов получения;</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тестовых заданий, направленных на отработку теоретических знаний на конкретных примерах;</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цепочки химических превращений, решение которых направлено на развитие синтеза знаний  разных тем органической химии.</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Теоретическое наполнение учебных электронных пособий осуществлялось на основе учебной программы учреждения высшего образования по учебной дисциплине «Органическая химия» для специальности 6-05-0113-03 Природоведческое образование (биология и химия), утвержденной ректором учреждения образования МГУ имени А.А. Кулешова 22.05.2024 г, регистрационный № УД-5302/уч., а также классических учебников по органической химии [1-5].</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Предложенная структура электронных пособий по темам «Амины» и «Карбонильные соединения», на наш взгляд, образуют логически завершённую систему освоения материала и контроля знаний: от понимания общих теоретических вопросов через проверку знания конкретных фактов к комплексному применению знаний при решении цепочек взаимопревращений органических соединений.</w:t>
      </w:r>
    </w:p>
    <w:p w:rsidR="00F8531B" w:rsidRDefault="0076058D" w:rsidP="00CA59B8">
      <w:pPr>
        <w:pStyle w:val="a6"/>
        <w:spacing w:before="0" w:beforeAutospacing="0" w:after="0" w:afterAutospacing="0"/>
        <w:ind w:firstLine="709"/>
        <w:jc w:val="both"/>
        <w:rPr>
          <w:sz w:val="28"/>
          <w:szCs w:val="28"/>
          <w:lang w:val="ru-RU"/>
        </w:rPr>
      </w:pPr>
      <w:r>
        <w:rPr>
          <w:sz w:val="28"/>
          <w:szCs w:val="28"/>
          <w:lang w:val="ru-RU"/>
        </w:rPr>
        <w:t xml:space="preserve">Разработанные пособия планируется использовать в образовательном процессе как аудиторной, так и самостоятельной работе студентов при изучении тем «Амины» и «Карбонильные соединения» в органической химии, что позволит повысить эффективность обучения, уровень вовлеченности и качество усвоения материала. </w:t>
      </w:r>
    </w:p>
    <w:p w:rsidR="00F8531B" w:rsidRPr="00CA59B8" w:rsidRDefault="00F8531B" w:rsidP="00CA59B8">
      <w:pPr>
        <w:tabs>
          <w:tab w:val="left" w:pos="2478"/>
        </w:tabs>
        <w:spacing w:after="0" w:line="240" w:lineRule="auto"/>
        <w:ind w:firstLine="709"/>
        <w:jc w:val="center"/>
        <w:rPr>
          <w:rFonts w:ascii="Times New Roman" w:eastAsia="Times New Roman" w:hAnsi="Times New Roman" w:cs="Times New Roman"/>
          <w:sz w:val="24"/>
          <w:szCs w:val="24"/>
        </w:rPr>
      </w:pPr>
    </w:p>
    <w:p w:rsidR="00F8531B" w:rsidRPr="00302646" w:rsidRDefault="0076058D" w:rsidP="00CA59B8">
      <w:pPr>
        <w:tabs>
          <w:tab w:val="left" w:pos="2478"/>
        </w:tabs>
        <w:spacing w:after="0" w:line="240" w:lineRule="auto"/>
        <w:ind w:firstLine="709"/>
        <w:jc w:val="center"/>
        <w:rPr>
          <w:rFonts w:ascii="Times New Roman" w:hAnsi="Times New Roman" w:cs="Times New Roman"/>
          <w:b/>
          <w:sz w:val="28"/>
          <w:szCs w:val="28"/>
        </w:rPr>
      </w:pPr>
      <w:r w:rsidRPr="00302646">
        <w:rPr>
          <w:rFonts w:ascii="Times New Roman" w:hAnsi="Times New Roman" w:cs="Times New Roman"/>
          <w:b/>
          <w:sz w:val="28"/>
          <w:szCs w:val="28"/>
        </w:rPr>
        <w:t>Список литературы</w:t>
      </w:r>
    </w:p>
    <w:p w:rsidR="00F8531B" w:rsidRPr="00CA59B8" w:rsidRDefault="0076058D" w:rsidP="00CA59B8">
      <w:pPr>
        <w:shd w:val="clear" w:color="auto" w:fill="FFFFFF"/>
        <w:spacing w:after="0" w:line="240" w:lineRule="auto"/>
        <w:ind w:firstLine="709"/>
        <w:jc w:val="both"/>
        <w:rPr>
          <w:rFonts w:ascii="Times New Roman" w:eastAsia="Times New Roman" w:hAnsi="Times New Roman" w:cs="Times New Roman"/>
          <w:sz w:val="24"/>
          <w:szCs w:val="24"/>
        </w:rPr>
      </w:pPr>
      <w:r w:rsidRPr="00CA59B8">
        <w:rPr>
          <w:rFonts w:ascii="Times New Roman" w:eastAsia="Times New Roman" w:hAnsi="Times New Roman" w:cs="Times New Roman"/>
          <w:sz w:val="24"/>
          <w:szCs w:val="24"/>
        </w:rPr>
        <w:t>1. Органическая химия: Учебник для вузов в 2 кн. / В.Л. Белобородов, С.Э. Зурабян, А.П. Лузин, Н.А. Тюкавкина; Под ред. Н.А. Тюкавкиной) – 2-е изд., стереотип. – М.: Дрофа. 2003. – Кн.1: Основной курс. – 640 с.</w:t>
      </w:r>
    </w:p>
    <w:p w:rsidR="00F8531B" w:rsidRPr="00CA59B8" w:rsidRDefault="0076058D" w:rsidP="00CA59B8">
      <w:pPr>
        <w:shd w:val="clear" w:color="auto" w:fill="FFFFFF"/>
        <w:spacing w:after="0" w:line="240" w:lineRule="auto"/>
        <w:ind w:firstLine="709"/>
        <w:jc w:val="both"/>
        <w:rPr>
          <w:rFonts w:ascii="Times New Roman" w:eastAsia="Times New Roman" w:hAnsi="Times New Roman" w:cs="Times New Roman"/>
          <w:sz w:val="24"/>
          <w:szCs w:val="24"/>
        </w:rPr>
      </w:pPr>
      <w:r w:rsidRPr="00CA59B8">
        <w:rPr>
          <w:rFonts w:ascii="Times New Roman" w:eastAsia="Times New Roman" w:hAnsi="Times New Roman" w:cs="Times New Roman"/>
          <w:sz w:val="24"/>
          <w:szCs w:val="24"/>
        </w:rPr>
        <w:t xml:space="preserve">2. Грандберг, И. И. Органическая химия / И.И. Грандерберг. - М.: Дрофа. 2001. – 674 с. </w:t>
      </w:r>
    </w:p>
    <w:p w:rsidR="00F8531B" w:rsidRPr="00CA59B8" w:rsidRDefault="0076058D" w:rsidP="00CA59B8">
      <w:pPr>
        <w:shd w:val="clear" w:color="auto" w:fill="FFFFFF"/>
        <w:spacing w:after="0" w:line="240" w:lineRule="auto"/>
        <w:ind w:firstLine="709"/>
        <w:jc w:val="both"/>
        <w:rPr>
          <w:rFonts w:ascii="Times New Roman" w:eastAsia="Times New Roman" w:hAnsi="Times New Roman" w:cs="Times New Roman"/>
          <w:sz w:val="24"/>
          <w:szCs w:val="24"/>
        </w:rPr>
      </w:pPr>
      <w:r w:rsidRPr="00CA59B8">
        <w:rPr>
          <w:rFonts w:ascii="Times New Roman" w:eastAsia="Times New Roman" w:hAnsi="Times New Roman" w:cs="Times New Roman"/>
          <w:sz w:val="24"/>
          <w:szCs w:val="24"/>
        </w:rPr>
        <w:lastRenderedPageBreak/>
        <w:t>3. Терней, А.. Современная органическая химия в 2 т. / А. Терней. Пер. с англ. – М.: Мир, 1981.</w:t>
      </w:r>
    </w:p>
    <w:p w:rsidR="00F8531B" w:rsidRPr="00CA59B8" w:rsidRDefault="0076058D" w:rsidP="00CA59B8">
      <w:pPr>
        <w:shd w:val="clear" w:color="auto" w:fill="FFFFFF"/>
        <w:spacing w:after="0" w:line="240" w:lineRule="auto"/>
        <w:ind w:firstLine="709"/>
        <w:jc w:val="both"/>
        <w:rPr>
          <w:rFonts w:ascii="Times New Roman" w:eastAsia="Times New Roman" w:hAnsi="Times New Roman" w:cs="Times New Roman"/>
          <w:sz w:val="24"/>
          <w:szCs w:val="24"/>
        </w:rPr>
      </w:pPr>
      <w:r w:rsidRPr="00CA59B8">
        <w:rPr>
          <w:rFonts w:ascii="Times New Roman" w:eastAsia="Times New Roman" w:hAnsi="Times New Roman" w:cs="Times New Roman"/>
          <w:sz w:val="24"/>
          <w:szCs w:val="24"/>
        </w:rPr>
        <w:t>4.  Райлс А. Основы органической химии / А. Райлс, К. Смит, Р. Уорд. Пер. с англ. -М.: Мир, 1982.</w:t>
      </w:r>
    </w:p>
    <w:p w:rsidR="00F8531B" w:rsidRPr="00CA59B8" w:rsidRDefault="0076058D" w:rsidP="00CA59B8">
      <w:pPr>
        <w:shd w:val="clear" w:color="auto" w:fill="FFFFFF"/>
        <w:spacing w:after="0" w:line="240" w:lineRule="auto"/>
        <w:ind w:firstLine="709"/>
        <w:jc w:val="both"/>
        <w:rPr>
          <w:rFonts w:ascii="Times New Roman" w:eastAsia="Times New Roman" w:hAnsi="Times New Roman" w:cs="Times New Roman"/>
          <w:sz w:val="24"/>
          <w:szCs w:val="24"/>
        </w:rPr>
      </w:pPr>
      <w:r w:rsidRPr="00CA59B8">
        <w:rPr>
          <w:rFonts w:ascii="Times New Roman" w:eastAsia="Times New Roman" w:hAnsi="Times New Roman" w:cs="Times New Roman"/>
          <w:sz w:val="24"/>
          <w:szCs w:val="24"/>
        </w:rPr>
        <w:t>5. Иванов, В.Г. Органическая химия / В.Г. Иванов, В.А. Горленко, О.Н. Гева - М.: Мастерство, 2003.</w:t>
      </w:r>
    </w:p>
    <w:p w:rsidR="00CA59B8" w:rsidRDefault="00CA59B8" w:rsidP="002D11EF">
      <w:pPr>
        <w:tabs>
          <w:tab w:val="left" w:pos="8820"/>
        </w:tabs>
        <w:spacing w:after="0" w:line="240" w:lineRule="auto"/>
        <w:ind w:right="54" w:firstLineChars="157" w:firstLine="440"/>
        <w:jc w:val="both"/>
        <w:rPr>
          <w:rFonts w:ascii="Times New Roman" w:hAnsi="Times New Roman" w:cs="Times New Roman"/>
          <w:sz w:val="28"/>
          <w:szCs w:val="28"/>
        </w:rPr>
      </w:pP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УДК 65.011.56</w:t>
      </w:r>
    </w:p>
    <w:p w:rsidR="00F8531B" w:rsidRDefault="0076058D" w:rsidP="00CA59B8">
      <w:pPr>
        <w:tabs>
          <w:tab w:val="left" w:pos="8820"/>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НЕОБХОДИМОСТЬ ЦИФРОВИЗАЦИИ ЛОГИСТИЧЕСКИХ ПРОЦЕССОВ НА ПРЕДПРИЯТИИ</w:t>
      </w:r>
    </w:p>
    <w:p w:rsidR="00F8531B" w:rsidRDefault="00F8531B" w:rsidP="00CA59B8">
      <w:pPr>
        <w:tabs>
          <w:tab w:val="left" w:pos="8820"/>
        </w:tabs>
        <w:spacing w:after="0" w:line="240" w:lineRule="auto"/>
        <w:ind w:firstLine="709"/>
        <w:jc w:val="both"/>
        <w:rPr>
          <w:rFonts w:ascii="Times New Roman" w:hAnsi="Times New Roman" w:cs="Times New Roman"/>
          <w:sz w:val="28"/>
          <w:szCs w:val="28"/>
        </w:rPr>
      </w:pPr>
    </w:p>
    <w:p w:rsidR="00F8531B" w:rsidRDefault="0076058D" w:rsidP="00CA59B8">
      <w:pPr>
        <w:tabs>
          <w:tab w:val="left" w:pos="882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Мешкова Ирина Арнольдовна</w:t>
      </w:r>
    </w:p>
    <w:p w:rsidR="00F8531B" w:rsidRDefault="0076058D" w:rsidP="00CA59B8">
      <w:pPr>
        <w:tabs>
          <w:tab w:val="left" w:pos="8820"/>
        </w:tabs>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старший преподаватель кафедры экономики и управления</w:t>
      </w:r>
    </w:p>
    <w:p w:rsidR="00F8531B" w:rsidRDefault="0076058D" w:rsidP="00CA59B8">
      <w:pPr>
        <w:tabs>
          <w:tab w:val="left" w:pos="8820"/>
        </w:tabs>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учреждения образования «Могилевский государственный университет имени А.А. Кулешова»</w:t>
      </w:r>
    </w:p>
    <w:p w:rsidR="00F8531B" w:rsidRDefault="0076058D" w:rsidP="00CA59B8">
      <w:pPr>
        <w:tabs>
          <w:tab w:val="left" w:pos="8820"/>
        </w:tabs>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Могилев, Беларусь)</w:t>
      </w:r>
    </w:p>
    <w:p w:rsidR="00F8531B" w:rsidRDefault="0076058D" w:rsidP="00CA59B8">
      <w:pPr>
        <w:tabs>
          <w:tab w:val="left" w:pos="8820"/>
        </w:tabs>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shakira</w:t>
      </w:r>
      <w:r>
        <w:rPr>
          <w:rFonts w:ascii="Times New Roman" w:eastAsia="Times New Roman" w:hAnsi="Times New Roman" w:cs="Times New Roman"/>
          <w:sz w:val="28"/>
          <w:szCs w:val="28"/>
        </w:rPr>
        <w:t>124@</w:t>
      </w:r>
      <w:r>
        <w:rPr>
          <w:rFonts w:ascii="Times New Roman" w:eastAsia="Times New Roman" w:hAnsi="Times New Roman" w:cs="Times New Roman"/>
          <w:sz w:val="28"/>
          <w:szCs w:val="28"/>
          <w:lang w:val="en-US"/>
        </w:rPr>
        <w:t>yandex</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by</w:t>
      </w:r>
    </w:p>
    <w:p w:rsidR="00F8531B" w:rsidRDefault="00F8531B" w:rsidP="00CA59B8">
      <w:pPr>
        <w:tabs>
          <w:tab w:val="left" w:pos="8820"/>
        </w:tabs>
        <w:spacing w:after="0" w:line="240" w:lineRule="auto"/>
        <w:ind w:firstLine="709"/>
        <w:jc w:val="both"/>
        <w:rPr>
          <w:rFonts w:ascii="Times New Roman" w:hAnsi="Times New Roman" w:cs="Times New Roman"/>
          <w:sz w:val="28"/>
          <w:szCs w:val="28"/>
        </w:rPr>
      </w:pPr>
    </w:p>
    <w:p w:rsidR="00F8531B" w:rsidRDefault="0076058D" w:rsidP="00CA59B8">
      <w:pPr>
        <w:tabs>
          <w:tab w:val="left" w:pos="8820"/>
        </w:tabs>
        <w:spacing w:after="0" w:line="240" w:lineRule="auto"/>
        <w:ind w:firstLine="709"/>
        <w:jc w:val="both"/>
        <w:rPr>
          <w:rFonts w:ascii="Times New Roman" w:hAnsi="Times New Roman" w:cs="Times New Roman"/>
          <w:i/>
          <w:sz w:val="24"/>
          <w:szCs w:val="24"/>
        </w:rPr>
      </w:pPr>
      <w:r>
        <w:rPr>
          <w:rFonts w:ascii="Times New Roman" w:hAnsi="Times New Roman" w:cs="Times New Roman"/>
          <w:b/>
          <w:sz w:val="24"/>
          <w:szCs w:val="24"/>
        </w:rPr>
        <w:t>Аннотация.</w:t>
      </w:r>
      <w:r>
        <w:rPr>
          <w:rFonts w:ascii="Times New Roman" w:hAnsi="Times New Roman" w:cs="Times New Roman"/>
          <w:i/>
          <w:sz w:val="24"/>
          <w:szCs w:val="24"/>
        </w:rPr>
        <w:t xml:space="preserve"> </w:t>
      </w:r>
      <w:r w:rsidRPr="00302646">
        <w:rPr>
          <w:rFonts w:ascii="Times New Roman" w:hAnsi="Times New Roman" w:cs="Times New Roman"/>
          <w:sz w:val="24"/>
          <w:szCs w:val="24"/>
        </w:rPr>
        <w:t>Данная статья раскрывает актуальность цифровизации логистических процессов на предприятии. В статье также представлены традиционные и инновационные направления цифровизации логистических процессов предприятии и их влияние на эффективность деятельности предприятий.</w:t>
      </w:r>
    </w:p>
    <w:p w:rsidR="00F8531B" w:rsidRDefault="0076058D" w:rsidP="00CA59B8">
      <w:pPr>
        <w:tabs>
          <w:tab w:val="left" w:pos="8820"/>
        </w:tabs>
        <w:spacing w:after="0" w:line="240" w:lineRule="auto"/>
        <w:ind w:firstLine="709"/>
        <w:jc w:val="both"/>
        <w:rPr>
          <w:rFonts w:ascii="Times New Roman" w:hAnsi="Times New Roman" w:cs="Times New Roman"/>
          <w:i/>
          <w:sz w:val="24"/>
          <w:szCs w:val="24"/>
        </w:rPr>
      </w:pPr>
      <w:r>
        <w:rPr>
          <w:rFonts w:ascii="Times New Roman" w:hAnsi="Times New Roman" w:cs="Times New Roman"/>
          <w:b/>
          <w:sz w:val="24"/>
          <w:szCs w:val="24"/>
        </w:rPr>
        <w:t>Ключевые слова.</w:t>
      </w:r>
      <w:r>
        <w:rPr>
          <w:rFonts w:ascii="Times New Roman" w:hAnsi="Times New Roman" w:cs="Times New Roman"/>
          <w:i/>
          <w:sz w:val="24"/>
          <w:szCs w:val="24"/>
        </w:rPr>
        <w:t xml:space="preserve"> </w:t>
      </w:r>
      <w:r w:rsidRPr="00302646">
        <w:rPr>
          <w:rFonts w:ascii="Times New Roman" w:hAnsi="Times New Roman" w:cs="Times New Roman"/>
          <w:sz w:val="24"/>
          <w:szCs w:val="24"/>
        </w:rPr>
        <w:t>Логистические процессы, цифровизация, конкурентоспособность, инновационные технологии, системы управления грузами, оптимизация запасов.</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цифровизации логистических операций в настоящее время трудно переоценить. Современный мир стал более цифровым, быстрым и требовательным к эффективности. В этом контексте цифровизация логистических процессов становится ключевым фактором успешного функционирования и развития компаний. </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аспектами, подчеркивающими актуальность цифровизации логистических операций являются:</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конкурентоспособности. Компании, которые успешно внедряют цифровые технологии в логистические процессы, могут обеспечить более высокую скорость и качество обслуживания клиентов, что делает их более конкурентоспособными на рынке;</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оптимизация запасов. С помощью цифровых инструментов можно улучшить управление запасами, предсказывать спрос, оптимизировать запасы и сократить издержки на хранение.</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сокращение издержек. Цифровизация позволяет оптимизировать процессы, уменьшить количество ручной работы, сократить издержки на складирование и транспортировку, что в конечном итоге приводит к снижению общих затрат компании;</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улучшение прогнозирования и планирования. Цифровые технологии позволяют собирать и анализировать большие объемы данных, </w:t>
      </w:r>
      <w:r>
        <w:rPr>
          <w:rFonts w:ascii="Times New Roman" w:hAnsi="Times New Roman" w:cs="Times New Roman"/>
          <w:sz w:val="28"/>
          <w:szCs w:val="28"/>
        </w:rPr>
        <w:lastRenderedPageBreak/>
        <w:t>что помогает компаниям лучше понимать спрос, прогнозировать потребности и эффективно планировать поставки;</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 прозрачности и контроля. Цифровые системы отслеживания грузов, мониторинга транспорта и управления запасами обеспечивают более высокий уровень прозрачности и контроля над логистическими операциями;</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адаптация к изменениям. Цифровизация делает логистические процессы более гибкими и адаптивными к изменяющимся условиям рынка, позволяя компаниям быстро реагировать на новые требования и вызовы;</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улучшение обслуживания клиентов. Цифровизация позволяет создавать персонализированные сервисы для клиентов, улучшая опыт взаимодействия и повышая удовлетворенность клиентов;</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аналитика и принятие решений. Цифровые технологии предоставляют большое количество данных о логистических процессах, что позволяет проводить анализ, выявлять тренды, оптимизировать процессы и принимать обоснованные решения.</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снижение рисков. Цифровизация позволяет уменьшить вероятность ошибок, улучшить безопасность поставок и снизить риски потерь грузов во время транспортировки.</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Цифровизация логистических процессов означает применение цифровых технологий и инноваций для оптимизации и автоматизации различных этапов логистической цепи. Основными традиционными направлениями внедрения цифровых технологий в логистические процессы являются:</w:t>
      </w:r>
    </w:p>
    <w:p w:rsidR="00F8531B" w:rsidRDefault="0076058D" w:rsidP="00CA59B8">
      <w:pPr>
        <w:tabs>
          <w:tab w:val="left" w:pos="993"/>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систем управления складом. Цифровые системы управления складом позволяют автоматизировать процессы приема, хранения и отгрузки товаров, оптимизировать распределение грузов на складе, управлять запасами и повышать эффективность работы склада.</w:t>
      </w:r>
    </w:p>
    <w:p w:rsidR="00F8531B" w:rsidRDefault="0076058D" w:rsidP="00CA59B8">
      <w:pPr>
        <w:tabs>
          <w:tab w:val="left" w:pos="993"/>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технологии трекинга и мониторинга грузов. Системы трекинга и мониторинга позволяют отслеживать местоположение грузов в реальном времени, контролировать их состояние, уменьшать риски потери или повреждения груза и повышать прозрачность логистических операций.</w:t>
      </w:r>
    </w:p>
    <w:p w:rsidR="00F8531B" w:rsidRDefault="0076058D" w:rsidP="00CA59B8">
      <w:pPr>
        <w:tabs>
          <w:tab w:val="left" w:pos="993"/>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цифровые решения для управления транспортом. Цифровые платформы для управления транспортом помогают оптимизировать маршруты доставки, улучшить использование транспортных средств, сократить время доставки и снизить затраты на транспортировку.</w:t>
      </w:r>
    </w:p>
    <w:p w:rsidR="00F8531B" w:rsidRDefault="0076058D" w:rsidP="00CA59B8">
      <w:pPr>
        <w:tabs>
          <w:tab w:val="left" w:pos="993"/>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аналитики и Big Data. Анализ больших данных позволяет компаниям получать ценные инсайты о логистических процессах, прогнозировать спрос, оптимизировать запасы, улучшать качество обслуживания клиентов и принимать более обоснованные решения;</w:t>
      </w:r>
    </w:p>
    <w:p w:rsidR="00F8531B" w:rsidRDefault="0076058D" w:rsidP="00CA59B8">
      <w:pPr>
        <w:tabs>
          <w:tab w:val="left" w:pos="993"/>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создание цифровых платформ для улучшения коммуникации между участниками логистических процессов. Цифровые платформы предоставляют средства для более эффективной коммуникации между различными участниками логистических процессов, такими как поставщики, производители, дистрибьюторы и клиенты. Это может включать использование электронных систем заказов, онлайн-порталов для отслеживания статуса доставки, а также интеграцию систем электронного документооборота для обмена информацией;</w:t>
      </w:r>
    </w:p>
    <w:p w:rsidR="00F8531B" w:rsidRDefault="0076058D" w:rsidP="00CA59B8">
      <w:pPr>
        <w:tabs>
          <w:tab w:val="left" w:pos="993"/>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оптимизация маршрутов доставки. Цифровые технологии позволяют оптимизировать маршруты доставки грузов. Это включает использование систем GPS для отслеживания и маршрутизации транспортных средств, алгоритмов оптимизации для выбора наиболее эффективных маршрутов, а также интеграцию с системами управления заказами для автоматического формирования маршрутных листов.</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существует множество традиционных вариантов цифровизации логистических процессов. Возможности цифровизации могут быть разнообразны в зависимости от поставленных целей на предприятии.</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Существует также множество инновационных инструментов цифровизации логистических процессов, которые помогают компаниям улучшить эффективность своей логистической деятельности. Такими инновационными инструментами являются:</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Интернет вещей (IoT). Сенсоры и устройства IoT могут быть установлены на грузах, транспортных средствах, складах и других объектах для сбора данных в реальном времени. Это позволяет отслеживать местоположение грузов, контролировать условия хранения, мониторить состояние оборудования и автоматизировать процессы.</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Искусственный интеллект (AI) и машинное обучение. AI и машинное обучение используются для прогнозирования спроса, оптимизации маршрутов, управления запасами, анализа данных и принятия решений в реальном времени на основе больших объемов информации.</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Роботизированные системы. Роботы и автоматизированные системы могут быть задействованы на складах для выполнения различных задач, таких как сортировка товаров, упаковка, перемещение грузов. Это помогает ускорить процессы и снизить вероятность ошибок.</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Цифровые рынки и платформы. Онлайн-рынки и платформы связывают поставщиков, перевозчиков и заказчиков, обеспечивая прозрачность, эффективность и удобство взаимодействия между участниками логистической цепи.</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Блокчейн технологии. Блокчейн обеспечивает безопасность данных и транзакций, повышает доверие между сторонами, упрощает процессы аудита и отслеживания грузов в цепи поставок.</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Виртуальная и дополненная реальность. VR и AR используются для обучения персонала, планирования складских операций, визуализации данных о грузах и транспорте.</w:t>
      </w:r>
    </w:p>
    <w:p w:rsidR="00F8531B" w:rsidRDefault="0076058D" w:rsidP="00CA59B8">
      <w:pPr>
        <w:tabs>
          <w:tab w:val="left" w:pos="8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инструменты помогают компаниям совершенствовать свои логистические операции, повышать эффективность и конкурентоспособность предприятий на рынке.</w:t>
      </w:r>
    </w:p>
    <w:p w:rsidR="00F8531B" w:rsidRPr="00CA59B8" w:rsidRDefault="0076058D" w:rsidP="00CA59B8">
      <w:pPr>
        <w:spacing w:after="0" w:line="240" w:lineRule="auto"/>
        <w:ind w:firstLine="709"/>
        <w:jc w:val="both"/>
        <w:rPr>
          <w:rFonts w:ascii="Times New Roman" w:hAnsi="Times New Roman" w:cs="Times New Roman"/>
          <w:sz w:val="28"/>
          <w:szCs w:val="28"/>
        </w:rPr>
      </w:pPr>
      <w:r w:rsidRPr="00CA59B8">
        <w:rPr>
          <w:rFonts w:ascii="Times New Roman" w:hAnsi="Times New Roman" w:cs="Times New Roman"/>
          <w:sz w:val="28"/>
          <w:szCs w:val="28"/>
        </w:rPr>
        <w:t>Таким образом, цифровизация логистических процессов играет ключевую роль в современном бизнесе и может принести значительные преимущества для компаний. Она помогает компаниям стать более конкурентоспособными, эффективными и адаптивными к изменяющимся условиям рынка в условиях современного бизнеса.</w:t>
      </w:r>
    </w:p>
    <w:p w:rsidR="00CA59B8" w:rsidRDefault="00CA59B8">
      <w:pPr>
        <w:spacing w:after="0" w:line="240" w:lineRule="auto"/>
        <w:jc w:val="center"/>
        <w:rPr>
          <w:rFonts w:ascii="Times New Roman" w:hAnsi="Times New Roman" w:cs="Times New Roman"/>
          <w:b/>
          <w:bCs/>
          <w:sz w:val="28"/>
          <w:szCs w:val="28"/>
        </w:rPr>
      </w:pPr>
    </w:p>
    <w:p w:rsidR="00F8531B" w:rsidRPr="00CA59B8" w:rsidRDefault="0076058D" w:rsidP="00CA59B8">
      <w:pPr>
        <w:spacing w:after="0" w:line="240" w:lineRule="auto"/>
        <w:ind w:firstLine="709"/>
        <w:jc w:val="center"/>
        <w:rPr>
          <w:rFonts w:ascii="Times New Roman" w:hAnsi="Times New Roman" w:cs="Times New Roman"/>
          <w:b/>
          <w:bCs/>
          <w:sz w:val="28"/>
          <w:szCs w:val="28"/>
        </w:rPr>
      </w:pPr>
      <w:r w:rsidRPr="00CA59B8">
        <w:rPr>
          <w:rFonts w:ascii="Times New Roman" w:hAnsi="Times New Roman" w:cs="Times New Roman"/>
          <w:b/>
          <w:bCs/>
          <w:sz w:val="28"/>
          <w:szCs w:val="28"/>
        </w:rPr>
        <w:t xml:space="preserve">СОДЕРЖАНИЕ </w:t>
      </w:r>
      <w:r w:rsidRPr="00CA59B8">
        <w:rPr>
          <w:rFonts w:ascii="Times New Roman" w:hAnsi="Times New Roman" w:cs="Times New Roman"/>
          <w:b/>
          <w:bCs/>
          <w:i/>
          <w:iCs/>
          <w:sz w:val="28"/>
          <w:szCs w:val="28"/>
        </w:rPr>
        <w:t>ESCHERICHIA COLI</w:t>
      </w:r>
      <w:r w:rsidRPr="00CA59B8">
        <w:rPr>
          <w:rFonts w:ascii="Times New Roman" w:hAnsi="Times New Roman" w:cs="Times New Roman"/>
          <w:b/>
          <w:bCs/>
          <w:sz w:val="28"/>
          <w:szCs w:val="28"/>
        </w:rPr>
        <w:t xml:space="preserve"> </w:t>
      </w:r>
      <w:r w:rsidR="00CA59B8" w:rsidRPr="00CA59B8">
        <w:rPr>
          <w:rFonts w:ascii="Times New Roman" w:hAnsi="Times New Roman" w:cs="Times New Roman"/>
          <w:b/>
          <w:bCs/>
          <w:sz w:val="28"/>
          <w:szCs w:val="28"/>
        </w:rPr>
        <w:t xml:space="preserve"> </w:t>
      </w:r>
      <w:r w:rsidRPr="00CA59B8">
        <w:rPr>
          <w:rFonts w:ascii="Times New Roman" w:hAnsi="Times New Roman" w:cs="Times New Roman"/>
          <w:b/>
          <w:bCs/>
          <w:sz w:val="28"/>
          <w:szCs w:val="28"/>
        </w:rPr>
        <w:t>В ПОВЕРХНОСТНЫХ ВОДАХ ЗОН РЕКРЕАЦИЙ Г.</w:t>
      </w:r>
      <w:r w:rsidR="00CA59B8" w:rsidRPr="00CA59B8">
        <w:rPr>
          <w:rFonts w:ascii="Times New Roman" w:hAnsi="Times New Roman" w:cs="Times New Roman"/>
          <w:b/>
          <w:bCs/>
          <w:sz w:val="28"/>
          <w:szCs w:val="28"/>
        </w:rPr>
        <w:t xml:space="preserve"> </w:t>
      </w:r>
      <w:r w:rsidRPr="00CA59B8">
        <w:rPr>
          <w:rFonts w:ascii="Times New Roman" w:hAnsi="Times New Roman" w:cs="Times New Roman"/>
          <w:b/>
          <w:bCs/>
          <w:sz w:val="28"/>
          <w:szCs w:val="28"/>
        </w:rPr>
        <w:t>МОГИЛЕВА</w:t>
      </w:r>
    </w:p>
    <w:p w:rsidR="00F8531B" w:rsidRPr="00CA59B8" w:rsidRDefault="00F8531B" w:rsidP="00CA59B8">
      <w:pPr>
        <w:spacing w:after="0" w:line="240" w:lineRule="auto"/>
        <w:ind w:firstLine="709"/>
        <w:jc w:val="center"/>
        <w:rPr>
          <w:rFonts w:ascii="Times New Roman" w:hAnsi="Times New Roman" w:cs="Times New Roman"/>
          <w:b/>
          <w:bCs/>
          <w:sz w:val="28"/>
          <w:szCs w:val="28"/>
        </w:rPr>
      </w:pPr>
    </w:p>
    <w:p w:rsidR="00F8531B" w:rsidRDefault="0076058D" w:rsidP="00CA59B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Поворова Оксана Викторовна</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доцент кафедры естествознания</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учреждения образования «Могилевский государственный университет имени А.А. Кулешова»; кандидат биологических наук</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 Могилев, Беларусь)</w:t>
      </w:r>
    </w:p>
    <w:p w:rsidR="00F8531B" w:rsidRDefault="006266D1" w:rsidP="00CA59B8">
      <w:pPr>
        <w:spacing w:after="0" w:line="240" w:lineRule="auto"/>
        <w:ind w:firstLine="709"/>
        <w:jc w:val="center"/>
        <w:rPr>
          <w:rStyle w:val="a3"/>
          <w:rFonts w:ascii="Times New Roman" w:hAnsi="Times New Roman" w:cs="Times New Roman"/>
          <w:color w:val="auto"/>
          <w:sz w:val="28"/>
          <w:szCs w:val="28"/>
          <w:u w:val="none"/>
        </w:rPr>
      </w:pPr>
      <w:hyperlink r:id="rId10" w:history="1">
        <w:r w:rsidR="0076058D" w:rsidRPr="00CA59B8">
          <w:rPr>
            <w:rStyle w:val="a3"/>
            <w:rFonts w:ascii="Times New Roman" w:hAnsi="Times New Roman" w:cs="Times New Roman"/>
            <w:color w:val="auto"/>
            <w:sz w:val="28"/>
            <w:szCs w:val="28"/>
            <w:u w:val="none"/>
            <w:lang w:val="en-US"/>
          </w:rPr>
          <w:t>povorova</w:t>
        </w:r>
        <w:r w:rsidR="0076058D" w:rsidRPr="00CA59B8">
          <w:rPr>
            <w:rStyle w:val="a3"/>
            <w:rFonts w:ascii="Times New Roman" w:hAnsi="Times New Roman" w:cs="Times New Roman"/>
            <w:color w:val="auto"/>
            <w:sz w:val="28"/>
            <w:szCs w:val="28"/>
            <w:u w:val="none"/>
          </w:rPr>
          <w:t>@</w:t>
        </w:r>
        <w:r w:rsidR="0076058D" w:rsidRPr="00CA59B8">
          <w:rPr>
            <w:rStyle w:val="a3"/>
            <w:rFonts w:ascii="Times New Roman" w:hAnsi="Times New Roman" w:cs="Times New Roman"/>
            <w:color w:val="auto"/>
            <w:sz w:val="28"/>
            <w:szCs w:val="28"/>
            <w:u w:val="none"/>
            <w:lang w:val="en-US"/>
          </w:rPr>
          <w:t>m</w:t>
        </w:r>
        <w:r w:rsidR="0076058D" w:rsidRPr="00CA59B8">
          <w:rPr>
            <w:rStyle w:val="a3"/>
            <w:rFonts w:ascii="Times New Roman" w:hAnsi="Times New Roman" w:cs="Times New Roman"/>
            <w:color w:val="auto"/>
            <w:sz w:val="28"/>
            <w:szCs w:val="28"/>
            <w:u w:val="none"/>
          </w:rPr>
          <w:t>.</w:t>
        </w:r>
        <w:r w:rsidR="0076058D" w:rsidRPr="00CA59B8">
          <w:rPr>
            <w:rStyle w:val="a3"/>
            <w:rFonts w:ascii="Times New Roman" w:hAnsi="Times New Roman" w:cs="Times New Roman"/>
            <w:color w:val="auto"/>
            <w:sz w:val="28"/>
            <w:szCs w:val="28"/>
            <w:u w:val="none"/>
            <w:lang w:val="en-US"/>
          </w:rPr>
          <w:t>msu</w:t>
        </w:r>
        <w:r w:rsidR="0076058D" w:rsidRPr="00CA59B8">
          <w:rPr>
            <w:rStyle w:val="a3"/>
            <w:rFonts w:ascii="Times New Roman" w:hAnsi="Times New Roman" w:cs="Times New Roman"/>
            <w:color w:val="auto"/>
            <w:sz w:val="28"/>
            <w:szCs w:val="28"/>
            <w:u w:val="none"/>
          </w:rPr>
          <w:t>.</w:t>
        </w:r>
        <w:r w:rsidR="0076058D" w:rsidRPr="00CA59B8">
          <w:rPr>
            <w:rStyle w:val="a3"/>
            <w:rFonts w:ascii="Times New Roman" w:hAnsi="Times New Roman" w:cs="Times New Roman"/>
            <w:color w:val="auto"/>
            <w:sz w:val="28"/>
            <w:szCs w:val="28"/>
            <w:u w:val="none"/>
            <w:lang w:val="en-US"/>
          </w:rPr>
          <w:t>by</w:t>
        </w:r>
      </w:hyperlink>
    </w:p>
    <w:p w:rsidR="00F8531B" w:rsidRDefault="0076058D" w:rsidP="00CA59B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Зайцева Владислава Владимировна</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lang w:val="be-BY"/>
        </w:rPr>
        <w:t xml:space="preserve"> студент </w:t>
      </w:r>
      <w:r>
        <w:rPr>
          <w:rFonts w:ascii="Times New Roman" w:hAnsi="Times New Roman" w:cs="Times New Roman"/>
          <w:sz w:val="28"/>
          <w:szCs w:val="28"/>
        </w:rPr>
        <w:t>кафедры естествознания</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учреждения образования «Могилевский государственный университет имени А.А. Кулешова»</w:t>
      </w:r>
    </w:p>
    <w:p w:rsidR="00F8531B" w:rsidRDefault="0076058D" w:rsidP="00CA59B8">
      <w:pPr>
        <w:spacing w:after="0" w:line="240" w:lineRule="auto"/>
        <w:ind w:firstLine="709"/>
        <w:jc w:val="center"/>
        <w:rPr>
          <w:rFonts w:ascii="Times New Roman" w:hAnsi="Times New Roman" w:cs="Times New Roman"/>
          <w:sz w:val="28"/>
          <w:szCs w:val="28"/>
          <w:lang w:val="be-BY"/>
        </w:rPr>
      </w:pPr>
      <w:r>
        <w:rPr>
          <w:rFonts w:ascii="Times New Roman" w:hAnsi="Times New Roman" w:cs="Times New Roman"/>
          <w:sz w:val="28"/>
          <w:szCs w:val="28"/>
        </w:rPr>
        <w:t>(г. Могилев, Беларусь)</w:t>
      </w:r>
    </w:p>
    <w:p w:rsidR="00F8531B" w:rsidRDefault="006266D1" w:rsidP="00CA59B8">
      <w:pPr>
        <w:spacing w:after="0" w:line="240" w:lineRule="auto"/>
        <w:ind w:firstLine="709"/>
        <w:jc w:val="center"/>
        <w:rPr>
          <w:rStyle w:val="a3"/>
          <w:rFonts w:ascii="Times New Roman" w:hAnsi="Times New Roman" w:cs="Times New Roman"/>
          <w:color w:val="auto"/>
          <w:sz w:val="28"/>
          <w:szCs w:val="28"/>
          <w:u w:val="none"/>
          <w:lang w:val="be-BY"/>
        </w:rPr>
      </w:pPr>
      <w:hyperlink r:id="rId11" w:history="1">
        <w:r w:rsidR="0076058D" w:rsidRPr="00CA59B8">
          <w:rPr>
            <w:rStyle w:val="a3"/>
            <w:rFonts w:ascii="Times New Roman" w:hAnsi="Times New Roman" w:cs="Times New Roman"/>
            <w:color w:val="auto"/>
            <w:sz w:val="28"/>
            <w:szCs w:val="28"/>
            <w:u w:val="none"/>
            <w:lang w:val="be-BY"/>
          </w:rPr>
          <w:t>z.zvlada13@gmail.com</w:t>
        </w:r>
      </w:hyperlink>
    </w:p>
    <w:p w:rsidR="00F8531B" w:rsidRDefault="0076058D" w:rsidP="00CA59B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be-BY"/>
        </w:rPr>
        <w:t>Судакова Екатер</w:t>
      </w:r>
      <w:r>
        <w:rPr>
          <w:rFonts w:ascii="Times New Roman" w:hAnsi="Times New Roman" w:cs="Times New Roman"/>
          <w:b/>
          <w:bCs/>
          <w:sz w:val="28"/>
          <w:szCs w:val="28"/>
        </w:rPr>
        <w:t>ина Александровна</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преподаватель филиала БГТУ «Белорусский государственный колледж промышленности строительных материалов»</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 Минск, Беларусь)</w:t>
      </w:r>
    </w:p>
    <w:p w:rsidR="00F8531B" w:rsidRPr="00CA59B8" w:rsidRDefault="006266D1" w:rsidP="00CA59B8">
      <w:pPr>
        <w:spacing w:after="0" w:line="240" w:lineRule="auto"/>
        <w:ind w:firstLine="709"/>
        <w:jc w:val="center"/>
        <w:rPr>
          <w:rFonts w:ascii="Times New Roman" w:hAnsi="Times New Roman" w:cs="Times New Roman"/>
          <w:sz w:val="28"/>
          <w:szCs w:val="28"/>
        </w:rPr>
      </w:pPr>
      <w:hyperlink r:id="rId12" w:history="1">
        <w:r w:rsidR="0076058D" w:rsidRPr="00CA59B8">
          <w:rPr>
            <w:rStyle w:val="a3"/>
            <w:rFonts w:ascii="Times New Roman" w:hAnsi="Times New Roman" w:cs="Times New Roman"/>
            <w:color w:val="auto"/>
            <w:sz w:val="28"/>
            <w:szCs w:val="28"/>
            <w:u w:val="none"/>
            <w:lang w:val="en-US"/>
          </w:rPr>
          <w:t>ekatessssse</w:t>
        </w:r>
        <w:r w:rsidR="0076058D" w:rsidRPr="00CA59B8">
          <w:rPr>
            <w:rStyle w:val="a3"/>
            <w:rFonts w:ascii="Times New Roman" w:hAnsi="Times New Roman" w:cs="Times New Roman"/>
            <w:color w:val="auto"/>
            <w:sz w:val="28"/>
            <w:szCs w:val="28"/>
            <w:u w:val="none"/>
          </w:rPr>
          <w:t>@</w:t>
        </w:r>
        <w:r w:rsidR="0076058D" w:rsidRPr="00CA59B8">
          <w:rPr>
            <w:rStyle w:val="a3"/>
            <w:rFonts w:ascii="Times New Roman" w:hAnsi="Times New Roman" w:cs="Times New Roman"/>
            <w:color w:val="auto"/>
            <w:sz w:val="28"/>
            <w:szCs w:val="28"/>
            <w:u w:val="none"/>
            <w:lang w:val="en-US"/>
          </w:rPr>
          <w:t>gmail</w:t>
        </w:r>
        <w:r w:rsidR="0076058D" w:rsidRPr="00CA59B8">
          <w:rPr>
            <w:rStyle w:val="a3"/>
            <w:rFonts w:ascii="Times New Roman" w:hAnsi="Times New Roman" w:cs="Times New Roman"/>
            <w:color w:val="auto"/>
            <w:sz w:val="28"/>
            <w:szCs w:val="28"/>
            <w:u w:val="none"/>
          </w:rPr>
          <w:t>.</w:t>
        </w:r>
        <w:r w:rsidR="0076058D" w:rsidRPr="00CA59B8">
          <w:rPr>
            <w:rStyle w:val="a3"/>
            <w:rFonts w:ascii="Times New Roman" w:hAnsi="Times New Roman" w:cs="Times New Roman"/>
            <w:color w:val="auto"/>
            <w:sz w:val="28"/>
            <w:szCs w:val="28"/>
            <w:u w:val="none"/>
            <w:lang w:val="en-US"/>
          </w:rPr>
          <w:t>com</w:t>
        </w:r>
      </w:hyperlink>
    </w:p>
    <w:p w:rsidR="00F8531B" w:rsidRDefault="00F8531B" w:rsidP="00CA59B8">
      <w:pPr>
        <w:spacing w:after="0" w:line="240" w:lineRule="auto"/>
        <w:ind w:firstLine="709"/>
        <w:jc w:val="center"/>
        <w:rPr>
          <w:rFonts w:ascii="Times New Roman" w:hAnsi="Times New Roman" w:cs="Times New Roman"/>
          <w:sz w:val="28"/>
          <w:szCs w:val="28"/>
        </w:rPr>
      </w:pPr>
    </w:p>
    <w:p w:rsidR="00F8531B" w:rsidRPr="00302646" w:rsidRDefault="0076058D" w:rsidP="00CA59B8">
      <w:pPr>
        <w:spacing w:after="0" w:line="240" w:lineRule="auto"/>
        <w:ind w:firstLine="709"/>
        <w:jc w:val="both"/>
        <w:rPr>
          <w:rFonts w:ascii="Times New Roman" w:hAnsi="Times New Roman" w:cs="Times New Roman"/>
          <w:iCs/>
          <w:sz w:val="24"/>
          <w:szCs w:val="24"/>
        </w:rPr>
      </w:pPr>
      <w:r>
        <w:rPr>
          <w:rFonts w:ascii="Times New Roman" w:hAnsi="Times New Roman" w:cs="Times New Roman"/>
          <w:b/>
          <w:bCs/>
          <w:sz w:val="24"/>
          <w:szCs w:val="24"/>
          <w:lang w:val="be-BY"/>
        </w:rPr>
        <w:t>Аннотац</w:t>
      </w:r>
      <w:r>
        <w:rPr>
          <w:rFonts w:ascii="Times New Roman" w:hAnsi="Times New Roman" w:cs="Times New Roman"/>
          <w:b/>
          <w:bCs/>
          <w:sz w:val="24"/>
          <w:szCs w:val="24"/>
        </w:rPr>
        <w:t xml:space="preserve">ия. </w:t>
      </w:r>
      <w:r w:rsidRPr="00302646">
        <w:rPr>
          <w:rFonts w:ascii="Times New Roman" w:hAnsi="Times New Roman" w:cs="Times New Roman"/>
          <w:iCs/>
          <w:sz w:val="24"/>
          <w:szCs w:val="24"/>
        </w:rPr>
        <w:t>В работе представлены результаты мониторинга содержания Escherichia coli в зонах рекреации г. Могилёва (реки Днепр и Дубровенка, створы «вход в город» и «центр города», июль–август). Установлено, что концентрация E. coli варьирует от 0 до 5 КОЕ/см³, что соответствует высокому санитарному качеству воды. В центральной части города содержание E. coli стабильно выше, чем на фоновых створах: на Дубровенке — в среднем на 0,56 КОЕ/см³, на Днепре — на 1,22 КОЕ/см³. Корреляции с температурой воды, нитратами и нитритами не выявлено, что указывает на разную природу бактериального и химического загрязнения.</w:t>
      </w:r>
    </w:p>
    <w:p w:rsidR="00F8531B" w:rsidRPr="00302646" w:rsidRDefault="0076058D" w:rsidP="00CA59B8">
      <w:pPr>
        <w:spacing w:after="0" w:line="240" w:lineRule="auto"/>
        <w:ind w:firstLine="709"/>
        <w:jc w:val="both"/>
        <w:rPr>
          <w:rFonts w:ascii="Times New Roman" w:hAnsi="Times New Roman" w:cs="Times New Roman"/>
          <w:iCs/>
          <w:sz w:val="24"/>
          <w:szCs w:val="24"/>
        </w:rPr>
      </w:pPr>
      <w:r>
        <w:rPr>
          <w:rFonts w:ascii="Times New Roman" w:hAnsi="Times New Roman" w:cs="Times New Roman"/>
          <w:b/>
          <w:bCs/>
          <w:sz w:val="24"/>
          <w:szCs w:val="24"/>
        </w:rPr>
        <w:t xml:space="preserve">Ключевые слова. </w:t>
      </w:r>
      <w:r w:rsidRPr="00302646">
        <w:rPr>
          <w:rFonts w:ascii="Times New Roman" w:hAnsi="Times New Roman" w:cs="Times New Roman"/>
          <w:iCs/>
          <w:sz w:val="24"/>
          <w:szCs w:val="24"/>
        </w:rPr>
        <w:t>Escherichia coli, кишечная палочка, река Днепр, река Дубровенка</w:t>
      </w:r>
    </w:p>
    <w:p w:rsidR="00F8531B" w:rsidRDefault="00F8531B" w:rsidP="00CA59B8">
      <w:pPr>
        <w:spacing w:after="0" w:line="240" w:lineRule="auto"/>
        <w:ind w:firstLine="709"/>
        <w:jc w:val="both"/>
        <w:rPr>
          <w:rFonts w:ascii="Times New Roman" w:hAnsi="Times New Roman" w:cs="Times New Roman"/>
          <w:b/>
          <w:bCs/>
          <w:sz w:val="24"/>
          <w:szCs w:val="24"/>
        </w:rPr>
      </w:pPr>
    </w:p>
    <w:p w:rsidR="00F8531B" w:rsidRDefault="0076058D" w:rsidP="00CA59B8">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Кишечная палочка является индикаторным показателем безопасности и безвредности воды поверхностных водных объектов рекреационного (для культурно-бытового) использования. Присутствие </w:t>
      </w:r>
      <w:r>
        <w:rPr>
          <w:rFonts w:ascii="Times New Roman" w:hAnsi="Times New Roman" w:cs="Times New Roman"/>
          <w:i/>
          <w:iCs/>
          <w:sz w:val="28"/>
          <w:szCs w:val="28"/>
        </w:rPr>
        <w:t>E. coli</w:t>
      </w:r>
      <w:r>
        <w:rPr>
          <w:rFonts w:ascii="Times New Roman" w:hAnsi="Times New Roman" w:cs="Times New Roman"/>
          <w:sz w:val="28"/>
          <w:szCs w:val="28"/>
        </w:rPr>
        <w:t> в воде может свидетельствовать как о естественном (аутохтонном) происхождении, так и о фекальном загрязнении, поэтому интерпретация результатов требует учёта пространственно-временной динамики.</w:t>
      </w:r>
    </w:p>
    <w:p w:rsidR="00F8531B" w:rsidRDefault="0076058D" w:rsidP="00CA59B8">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Отбор проб для анализа содержания микроорганизмов проведён в четырёх точках, находящихся в пределах черты города Могилёва.</w:t>
      </w:r>
      <w:r>
        <w:rPr>
          <w:rFonts w:ascii="Times New Roman" w:hAnsi="Times New Roman" w:cs="Times New Roman"/>
          <w:sz w:val="28"/>
          <w:szCs w:val="28"/>
          <w:lang w:val="be-BY"/>
        </w:rPr>
        <w:t xml:space="preserve"> </w:t>
      </w:r>
      <w:r>
        <w:rPr>
          <w:rFonts w:ascii="Times New Roman" w:hAnsi="Times New Roman" w:cs="Times New Roman"/>
          <w:sz w:val="28"/>
          <w:szCs w:val="28"/>
        </w:rPr>
        <w:t>На реке Дубровенка:</w:t>
      </w:r>
      <w:r>
        <w:rPr>
          <w:rFonts w:ascii="Times New Roman" w:hAnsi="Times New Roman" w:cs="Times New Roman"/>
          <w:sz w:val="28"/>
          <w:szCs w:val="28"/>
          <w:lang w:val="be-BY"/>
        </w:rPr>
        <w:t xml:space="preserve"> </w:t>
      </w:r>
      <w:r>
        <w:rPr>
          <w:rFonts w:ascii="Times New Roman" w:hAnsi="Times New Roman" w:cs="Times New Roman"/>
          <w:sz w:val="28"/>
          <w:szCs w:val="28"/>
        </w:rPr>
        <w:t>Т1 — верхний створ — зона входа реки в город, расположенная в Печерском лесопарке (53°55′46″ с.ш., 30°17′20″ в.д.);</w:t>
      </w:r>
      <w:r>
        <w:rPr>
          <w:rFonts w:ascii="Times New Roman" w:hAnsi="Times New Roman" w:cs="Times New Roman"/>
          <w:sz w:val="28"/>
          <w:szCs w:val="28"/>
          <w:lang w:val="be-BY"/>
        </w:rPr>
        <w:t xml:space="preserve"> </w:t>
      </w:r>
      <w:r>
        <w:rPr>
          <w:rFonts w:ascii="Times New Roman" w:hAnsi="Times New Roman" w:cs="Times New Roman"/>
          <w:sz w:val="28"/>
          <w:szCs w:val="28"/>
        </w:rPr>
        <w:t>Т2 — нижний створ — центральная часть города, набережная реки Дубровенка (53°54′32″ с.ш., 30°19′34″ в.д.). На реке Днепр:</w:t>
      </w:r>
      <w:r>
        <w:rPr>
          <w:rFonts w:ascii="Times New Roman" w:hAnsi="Times New Roman" w:cs="Times New Roman"/>
          <w:sz w:val="28"/>
          <w:szCs w:val="28"/>
          <w:lang w:val="be-BY"/>
        </w:rPr>
        <w:t xml:space="preserve"> </w:t>
      </w:r>
      <w:r>
        <w:rPr>
          <w:rFonts w:ascii="Times New Roman" w:hAnsi="Times New Roman" w:cs="Times New Roman"/>
          <w:sz w:val="28"/>
          <w:szCs w:val="28"/>
        </w:rPr>
        <w:t>Т3 — верхний створ — зона входа реки в город (53°53′02″ с.ш., 30°22′07″ в.д.);</w:t>
      </w:r>
      <w:r>
        <w:rPr>
          <w:rFonts w:ascii="Times New Roman" w:hAnsi="Times New Roman" w:cs="Times New Roman"/>
          <w:sz w:val="28"/>
          <w:szCs w:val="28"/>
          <w:lang w:val="be-BY"/>
        </w:rPr>
        <w:t xml:space="preserve"> </w:t>
      </w:r>
      <w:r>
        <w:rPr>
          <w:rFonts w:ascii="Times New Roman" w:hAnsi="Times New Roman" w:cs="Times New Roman"/>
          <w:sz w:val="28"/>
          <w:szCs w:val="28"/>
        </w:rPr>
        <w:t>Т4 —нижний створ — центральная часть города (53°53′26″ с.ш., 30°20′00″ в.д.). Пробы отбирались дважды в месяц на 1 и 15 число каждого летнего месяца. Для выделения и культивирования бактерий использовалась среда Эндо-ГРМ.</w:t>
      </w:r>
    </w:p>
    <w:p w:rsidR="00F8531B" w:rsidRDefault="0076058D" w:rsidP="00CA59B8">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Концентрация </w:t>
      </w:r>
      <w:r>
        <w:rPr>
          <w:rFonts w:ascii="Times New Roman" w:hAnsi="Times New Roman" w:cs="Times New Roman"/>
          <w:i/>
          <w:iCs/>
          <w:sz w:val="28"/>
          <w:szCs w:val="28"/>
        </w:rPr>
        <w:t>E. coli</w:t>
      </w:r>
      <w:r>
        <w:rPr>
          <w:rFonts w:ascii="Times New Roman" w:hAnsi="Times New Roman" w:cs="Times New Roman"/>
          <w:sz w:val="28"/>
          <w:szCs w:val="28"/>
        </w:rPr>
        <w:t xml:space="preserve"> варьирует от 0 до 5 КОЕ/см³, что характерно для естественных популяций кишечных палочек в поверхностных водах, не испытывающих прямого фекального загрязнения, а также соответствует высокому санитарно-бактериологическому качеству воды. В изучаемые летние периоды оба водообъекта имеют схожую бактериальную нагрузку в сходных створах (верхний/нижний). Во всех створах выявлено максимальное число изучаемых микроорганизмов в июле и снижение к концу августа. Снижение выражено сильнее у Днепра, что связано с его большей проточностью, объёмом воды и более быстрым охлаждением в конце летнего периода. Снижение выражено слабее у Дубровенки, что объясняется меньшей проточностью, замедленным водообменом и инерцией сохранения тепла в малой реке. Наибольшее количество </w:t>
      </w:r>
      <w:r>
        <w:rPr>
          <w:rFonts w:ascii="Times New Roman" w:hAnsi="Times New Roman" w:cs="Times New Roman"/>
          <w:i/>
          <w:iCs/>
          <w:sz w:val="28"/>
          <w:szCs w:val="28"/>
        </w:rPr>
        <w:t>E. coli</w:t>
      </w:r>
      <w:r>
        <w:rPr>
          <w:rFonts w:ascii="Times New Roman" w:hAnsi="Times New Roman" w:cs="Times New Roman"/>
          <w:sz w:val="28"/>
          <w:szCs w:val="28"/>
        </w:rPr>
        <w:t>  в июле может быть связано с накоплением органики за предшествующие теплые месяцы, оптимальной температурой воды (18–20 °С) для роста аутохтонных штаммов, максимальной рекреационной нагрузкой в наиболее теплый период года.</w:t>
      </w:r>
    </w:p>
    <w:p w:rsidR="00F8531B" w:rsidRDefault="0076058D" w:rsidP="00CA59B8">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Выявлено стабильное повышение содержания бактерий в нижних створах по сравнению с верхними во все изучаемые периоды: в Т2 по сравнению с Т1 выше на 1 КОЕ/см³ в июне, 0,34 КОЕ/см³ в июле, на 0,33 КОЕ/см³ в августе; в Т4 по сравнению с Т3 выше 1 КОЕ/см³ в июне и августе, на 1,67 КОЕ/см³ в июле. Средняя разница между Т2 и Т1 составляет 0,56 КОЕ/см³, между Т4 и Т3 – 1,22 КОЕ/см³. Повышение численности изучаемых микроорганизмов на 0,3-1,7 КОЕ/см³ в нижних створах свидетельствует о чистоте фоновых вод и о локальном антропогенном воздействии внутри городской черты, которое может быть связано с поверхностным смывом с урбанизированных территорий </w:t>
      </w:r>
      <w:r>
        <w:rPr>
          <w:rFonts w:ascii="Times New Roman" w:hAnsi="Times New Roman" w:cs="Times New Roman"/>
          <w:sz w:val="28"/>
          <w:szCs w:val="28"/>
        </w:rPr>
        <w:lastRenderedPageBreak/>
        <w:t xml:space="preserve">(асфальт, газоны), точечными сбросами ливневой канализации, рекреационной нагрузкой (люди, домашние животные, птицы в прибрежной зоне). </w:t>
      </w:r>
    </w:p>
    <w:p w:rsidR="00F8531B" w:rsidRDefault="0076058D" w:rsidP="00CA59B8">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выявлены зависимости между содержанием </w:t>
      </w:r>
      <w:r>
        <w:rPr>
          <w:rFonts w:ascii="Times New Roman" w:hAnsi="Times New Roman" w:cs="Times New Roman"/>
          <w:i/>
          <w:iCs/>
          <w:sz w:val="28"/>
          <w:szCs w:val="28"/>
        </w:rPr>
        <w:t>E. coli</w:t>
      </w:r>
      <w:r>
        <w:rPr>
          <w:rFonts w:ascii="Times New Roman" w:hAnsi="Times New Roman" w:cs="Times New Roman"/>
          <w:sz w:val="28"/>
          <w:szCs w:val="28"/>
        </w:rPr>
        <w:t> и температурой воды (</w:t>
      </w:r>
      <w:r>
        <w:rPr>
          <w:rFonts w:ascii="Times New Roman" w:hAnsi="Times New Roman" w:cs="Times New Roman"/>
          <w:sz w:val="28"/>
          <w:szCs w:val="28"/>
          <w:lang w:val="en-US"/>
        </w:rPr>
        <w:t>r</w:t>
      </w:r>
      <w:r>
        <w:rPr>
          <w:rFonts w:ascii="Times New Roman" w:hAnsi="Times New Roman" w:cs="Times New Roman"/>
          <w:sz w:val="28"/>
          <w:szCs w:val="28"/>
          <w:lang w:val="be-BY"/>
        </w:rPr>
        <w:t>= -0,12, р</w:t>
      </w:r>
      <w:r>
        <w:rPr>
          <w:rFonts w:ascii="Times New Roman" w:hAnsi="Times New Roman" w:cs="Times New Roman"/>
          <w:shd w:val="clear" w:color="auto" w:fill="FFFFFF"/>
        </w:rPr>
        <w:t xml:space="preserve"> </w:t>
      </w:r>
      <w:r>
        <w:rPr>
          <w:rFonts w:ascii="Times New Roman" w:hAnsi="Times New Roman" w:cs="Times New Roman"/>
          <w:sz w:val="28"/>
          <w:szCs w:val="28"/>
        </w:rPr>
        <w:t>&gt; 0,05), содержанием нитритов и нитратов в воде (</w:t>
      </w:r>
      <w:r>
        <w:rPr>
          <w:rFonts w:ascii="Times New Roman" w:hAnsi="Times New Roman" w:cs="Times New Roman"/>
          <w:sz w:val="28"/>
          <w:szCs w:val="28"/>
          <w:lang w:val="en-US"/>
        </w:rPr>
        <w:t>r</w:t>
      </w:r>
      <w:r>
        <w:rPr>
          <w:rFonts w:ascii="Times New Roman" w:hAnsi="Times New Roman" w:cs="Times New Roman"/>
          <w:sz w:val="28"/>
          <w:szCs w:val="28"/>
          <w:lang w:val="be-BY"/>
        </w:rPr>
        <w:t xml:space="preserve">= -0,11 и </w:t>
      </w:r>
      <w:r>
        <w:rPr>
          <w:rFonts w:ascii="Times New Roman" w:hAnsi="Times New Roman" w:cs="Times New Roman"/>
          <w:sz w:val="28"/>
          <w:szCs w:val="28"/>
          <w:lang w:val="en-US"/>
        </w:rPr>
        <w:t>r</w:t>
      </w:r>
      <w:r>
        <w:rPr>
          <w:rFonts w:ascii="Times New Roman" w:hAnsi="Times New Roman" w:cs="Times New Roman"/>
          <w:sz w:val="28"/>
          <w:szCs w:val="28"/>
          <w:lang w:val="be-BY"/>
        </w:rPr>
        <w:t>= -0,18, р</w:t>
      </w:r>
      <w:r>
        <w:rPr>
          <w:rFonts w:ascii="Times New Roman" w:hAnsi="Times New Roman" w:cs="Times New Roman"/>
          <w:shd w:val="clear" w:color="auto" w:fill="FFFFFF"/>
        </w:rPr>
        <w:t xml:space="preserve"> </w:t>
      </w:r>
      <w:r>
        <w:rPr>
          <w:rFonts w:ascii="Times New Roman" w:hAnsi="Times New Roman" w:cs="Times New Roman"/>
          <w:sz w:val="28"/>
          <w:szCs w:val="28"/>
        </w:rPr>
        <w:t>&gt; 0,05). Отсутствие связи между количественными показателями бактерий и азотсодержащими веществами (нитратами, нитритами) означает, что нитратный фон формируется иными процессами, не связанными с текущим бактериальным загрязнением. Вероятным источником нитратов может быть диффузный агрогенный сток (удобрения, смываемые с сельскохозяйственных угодий), который поступает в реки независимо от бытовых или ливневых сбросов.</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санитарного показателя фекального загрязнения вод используют содержание кишечной палочки в виде двух эпидемиологических показателей – коли-индекс и коли-титр. Коли-индекс — количество особей кишечной палочки, обнаруживаемое в 1 л исследуемого объекта. Коли-индекс — величина, пропорциональная фактическому содержанию кишечной палочки в исследуемом субстрате. Коли-титр — это наименьшее количество исследуемого материала в миллилитрах, в котором обнаружена одна кишечная палочка. В ходе работы было высчитано, что коли-индекс варьирует от 0 до 5000 КОЕ/л. Соответственно, коли-титр варьирует до 0,2 мл (при 5 КОЕ/см³). Для питьевой воды нормативы требуют отсутствия </w:t>
      </w:r>
      <w:r>
        <w:rPr>
          <w:rFonts w:ascii="Times New Roman" w:hAnsi="Times New Roman" w:cs="Times New Roman"/>
          <w:i/>
          <w:iCs/>
          <w:sz w:val="28"/>
          <w:szCs w:val="28"/>
        </w:rPr>
        <w:t>E. coli</w:t>
      </w:r>
      <w:r>
        <w:rPr>
          <w:rFonts w:ascii="Times New Roman" w:hAnsi="Times New Roman" w:cs="Times New Roman"/>
          <w:sz w:val="28"/>
          <w:szCs w:val="28"/>
        </w:rPr>
        <w:t> в 100 мл, что соответствует коли-индексу 0. Для рекреационных вод (зон купания) применяются менее жёсткие нормативы, не более 100 КОЕ/100 см³  [</w:t>
      </w:r>
      <w:r>
        <w:rPr>
          <w:rFonts w:ascii="Times New Roman" w:hAnsi="Times New Roman" w:cs="Times New Roman"/>
          <w:sz w:val="28"/>
          <w:szCs w:val="28"/>
          <w:lang w:val="be-BY"/>
        </w:rPr>
        <w:t>1, с. 6</w:t>
      </w:r>
      <w:r>
        <w:rPr>
          <w:rFonts w:ascii="Times New Roman" w:hAnsi="Times New Roman" w:cs="Times New Roman"/>
          <w:sz w:val="28"/>
          <w:szCs w:val="28"/>
        </w:rPr>
        <w:t>]. Согласно Директиве ЕС 2006/7/EC [2, с. 44-45], качество воды считается</w:t>
      </w:r>
      <w:r>
        <w:rPr>
          <w:rFonts w:ascii="Times New Roman" w:hAnsi="Times New Roman" w:cs="Times New Roman"/>
          <w:sz w:val="28"/>
          <w:szCs w:val="28"/>
          <w:lang w:val="be-BY"/>
        </w:rPr>
        <w:t xml:space="preserve"> </w:t>
      </w:r>
      <w:r>
        <w:rPr>
          <w:rFonts w:ascii="Times New Roman" w:hAnsi="Times New Roman" w:cs="Times New Roman"/>
          <w:sz w:val="28"/>
          <w:szCs w:val="28"/>
        </w:rPr>
        <w:t>«отличным» при </w:t>
      </w:r>
      <w:r>
        <w:rPr>
          <w:rFonts w:ascii="Times New Roman" w:hAnsi="Times New Roman" w:cs="Times New Roman"/>
          <w:i/>
          <w:iCs/>
          <w:sz w:val="28"/>
          <w:szCs w:val="28"/>
        </w:rPr>
        <w:t>E. coli</w:t>
      </w:r>
      <w:r>
        <w:rPr>
          <w:rFonts w:ascii="Times New Roman" w:hAnsi="Times New Roman" w:cs="Times New Roman"/>
          <w:sz w:val="28"/>
          <w:szCs w:val="28"/>
        </w:rPr>
        <w:t> ≤ 250 КОЕ/100 мл (≤ 2500 КОЕ/л);</w:t>
      </w:r>
      <w:r>
        <w:rPr>
          <w:rFonts w:ascii="Times New Roman" w:hAnsi="Times New Roman" w:cs="Times New Roman"/>
          <w:sz w:val="28"/>
          <w:szCs w:val="28"/>
          <w:lang w:val="be-BY"/>
        </w:rPr>
        <w:t xml:space="preserve"> </w:t>
      </w:r>
      <w:r>
        <w:rPr>
          <w:rFonts w:ascii="Times New Roman" w:hAnsi="Times New Roman" w:cs="Times New Roman"/>
          <w:sz w:val="28"/>
          <w:szCs w:val="28"/>
        </w:rPr>
        <w:t>«допустимым» при </w:t>
      </w:r>
      <w:r>
        <w:rPr>
          <w:rFonts w:ascii="Times New Roman" w:hAnsi="Times New Roman" w:cs="Times New Roman"/>
          <w:i/>
          <w:iCs/>
          <w:sz w:val="28"/>
          <w:szCs w:val="28"/>
        </w:rPr>
        <w:t>E. coli</w:t>
      </w:r>
      <w:r>
        <w:rPr>
          <w:rFonts w:ascii="Times New Roman" w:hAnsi="Times New Roman" w:cs="Times New Roman"/>
          <w:sz w:val="28"/>
          <w:szCs w:val="28"/>
        </w:rPr>
        <w:t> ≤ 500 КОЕ/100 мл (≤ 5000 КОЕ/л).</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В большинстве исследованных проб коли-индекс не превышал 2500 КОЕ/л, что соответствует категории «отличное качество» для рекреационного водопользования. </w:t>
      </w:r>
    </w:p>
    <w:p w:rsidR="00F8531B" w:rsidRDefault="0076058D" w:rsidP="00CA59B8">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установлено, что городская среда г. Могилёва оказывает стабильное умеренное бактериологическое воздействие на поверхностные воды. Наибольший вклад антропогенной нагрузки проявляется в июле (особенно для Днепра), а река Дубровенка характеризуется замедленным самоочищением в конце летнего периода. Отсутствие корреляции </w:t>
      </w:r>
      <w:r>
        <w:rPr>
          <w:rFonts w:ascii="Times New Roman" w:hAnsi="Times New Roman" w:cs="Times New Roman"/>
          <w:i/>
          <w:iCs/>
          <w:sz w:val="28"/>
          <w:szCs w:val="28"/>
        </w:rPr>
        <w:t>E. coli</w:t>
      </w:r>
      <w:r>
        <w:rPr>
          <w:rFonts w:ascii="Times New Roman" w:hAnsi="Times New Roman" w:cs="Times New Roman"/>
          <w:sz w:val="28"/>
          <w:szCs w:val="28"/>
        </w:rPr>
        <w:t xml:space="preserve"> с нитратами и нитритами подтверждает агрогенную природу нитратного загрязнения, независимую от бытовых и ливневых сбросов. </w:t>
      </w:r>
    </w:p>
    <w:p w:rsidR="00F8531B" w:rsidRDefault="0076058D" w:rsidP="00CA59B8">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дальнейшем мы продолжим мониторинг с добавлением показателей растворённого кислорода, БПК и термотолерантных колиформных бактерий для дифференциации автохтонных и фекальных штаммов по комплексу физиолого-биохимических и экологических </w:t>
      </w:r>
      <w:r>
        <w:rPr>
          <w:rFonts w:ascii="Times New Roman" w:hAnsi="Times New Roman" w:cs="Times New Roman"/>
          <w:sz w:val="28"/>
          <w:szCs w:val="28"/>
        </w:rPr>
        <w:lastRenderedPageBreak/>
        <w:t>признаков (а не только по факту наличия бактерий), поскольку свежие фекальные штаммы всегда сопровождаются высоким БПК и дефицитом кислорода, в отличие от автохтонных или адаптировавшихся.</w:t>
      </w:r>
    </w:p>
    <w:p w:rsidR="00F8531B" w:rsidRDefault="00F8531B" w:rsidP="00CA59B8">
      <w:pPr>
        <w:tabs>
          <w:tab w:val="left" w:pos="720"/>
        </w:tabs>
        <w:spacing w:after="0" w:line="240" w:lineRule="auto"/>
        <w:ind w:firstLine="709"/>
        <w:jc w:val="both"/>
        <w:rPr>
          <w:rFonts w:ascii="Times New Roman" w:hAnsi="Times New Roman" w:cs="Times New Roman"/>
          <w:sz w:val="28"/>
          <w:szCs w:val="28"/>
        </w:rPr>
      </w:pPr>
    </w:p>
    <w:p w:rsidR="00F8531B" w:rsidRPr="00302646" w:rsidRDefault="0076058D" w:rsidP="00CA59B8">
      <w:pPr>
        <w:spacing w:after="0" w:line="240" w:lineRule="auto"/>
        <w:ind w:firstLine="709"/>
        <w:jc w:val="center"/>
        <w:rPr>
          <w:rFonts w:ascii="Times New Roman" w:hAnsi="Times New Roman" w:cs="Times New Roman"/>
          <w:b/>
          <w:bCs/>
          <w:sz w:val="28"/>
          <w:szCs w:val="28"/>
        </w:rPr>
      </w:pPr>
      <w:r w:rsidRPr="00302646">
        <w:rPr>
          <w:rFonts w:ascii="Times New Roman" w:hAnsi="Times New Roman" w:cs="Times New Roman"/>
          <w:b/>
          <w:bCs/>
          <w:sz w:val="28"/>
          <w:szCs w:val="28"/>
        </w:rPr>
        <w:t>Список литературы</w:t>
      </w:r>
    </w:p>
    <w:p w:rsidR="00F8531B" w:rsidRDefault="0076058D" w:rsidP="00CA59B8">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Допустимые значения показателей безопасности воды поверхностных водных объектов для рекреационного использования : постановление Министерства Здравоохранения Республики Беларусь, 5 дек. 2016 г., №122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Национальный правовой Интернет-портал Республики Беларусь. – 23.12.2016. – 8/31536.</w:t>
      </w:r>
    </w:p>
    <w:p w:rsidR="00F8531B" w:rsidRPr="00CA59B8" w:rsidRDefault="0076058D" w:rsidP="00CA59B8">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Directive 2006/7/EC of the European Parliament and of the Council of 15 February 2006 concerning the management of bathing water quality and repealing Directive 76/160/EEC // Official Journal of the European Union. – 2006. – L 64. – P. 37–51. - </w:t>
      </w:r>
      <w:hyperlink r:id="rId13" w:history="1">
        <w:r w:rsidR="00CA59B8" w:rsidRPr="00CA59B8">
          <w:rPr>
            <w:rStyle w:val="a3"/>
            <w:rFonts w:ascii="Times New Roman" w:hAnsi="Times New Roman" w:cs="Times New Roman"/>
            <w:color w:val="auto"/>
            <w:sz w:val="24"/>
            <w:szCs w:val="24"/>
            <w:lang w:val="en-US"/>
          </w:rPr>
          <w:t>https://eur-lex.europa.eu/legal-content/EN/TXT/?uri=CELEX:32006L0007</w:t>
        </w:r>
      </w:hyperlink>
      <w:r w:rsidRPr="00CA59B8">
        <w:rPr>
          <w:rFonts w:ascii="Times New Roman" w:hAnsi="Times New Roman" w:cs="Times New Roman"/>
          <w:sz w:val="24"/>
          <w:szCs w:val="24"/>
          <w:lang w:val="en-US"/>
        </w:rPr>
        <w:t>.</w:t>
      </w:r>
    </w:p>
    <w:p w:rsidR="00CA59B8" w:rsidRPr="00302646" w:rsidRDefault="00CA59B8" w:rsidP="00CA59B8">
      <w:pPr>
        <w:spacing w:after="0" w:line="240" w:lineRule="auto"/>
        <w:ind w:firstLine="709"/>
        <w:jc w:val="both"/>
        <w:rPr>
          <w:rFonts w:ascii="Times New Roman" w:hAnsi="Times New Roman" w:cs="Times New Roman"/>
          <w:sz w:val="24"/>
          <w:szCs w:val="24"/>
          <w:lang w:val="en-US"/>
        </w:rPr>
      </w:pPr>
    </w:p>
    <w:p w:rsidR="00CA59B8" w:rsidRPr="00302646" w:rsidRDefault="00CA59B8" w:rsidP="00CA59B8">
      <w:pPr>
        <w:spacing w:after="0" w:line="240" w:lineRule="auto"/>
        <w:ind w:firstLine="709"/>
        <w:jc w:val="both"/>
        <w:rPr>
          <w:rFonts w:ascii="Times New Roman" w:hAnsi="Times New Roman" w:cs="Times New Roman"/>
          <w:sz w:val="24"/>
          <w:szCs w:val="24"/>
          <w:lang w:val="en-US"/>
        </w:rPr>
      </w:pPr>
    </w:p>
    <w:p w:rsidR="00F8531B" w:rsidRDefault="0076058D" w:rsidP="00CA59B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ОСОБЕННОСТИ ФЕНОТИПА ЛИМФОЦИТОВ ПРИ ЛАТЕНТНОЙ ТУБЕРКУЛЕЗНОЙ ИНФЕКЦИИ У ВЗРОСЛЫХ ИЗ ГРУПП ВЫСОКОГО РИСКА ПО ЗАБОЛЕВАНИЮ ТУБЕРКУЛЕЗОМ</w:t>
      </w:r>
    </w:p>
    <w:p w:rsidR="00F8531B" w:rsidRDefault="00F8531B" w:rsidP="00CA59B8">
      <w:pPr>
        <w:spacing w:after="0" w:line="240" w:lineRule="auto"/>
        <w:ind w:firstLine="709"/>
        <w:jc w:val="center"/>
        <w:rPr>
          <w:rFonts w:ascii="Times New Roman" w:hAnsi="Times New Roman" w:cs="Times New Roman"/>
          <w:b/>
          <w:bCs/>
          <w:sz w:val="28"/>
          <w:szCs w:val="28"/>
        </w:rPr>
      </w:pPr>
    </w:p>
    <w:p w:rsidR="00F8531B" w:rsidRDefault="0076058D" w:rsidP="00CA59B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Поворова Оксана Викторовна</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доцент кафедры естествознания</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учреждения образования «Могилевский государственный университет имени А.А. Кулешова»; кандидат биологических наук</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 Могилев, Беларусь)</w:t>
      </w:r>
    </w:p>
    <w:p w:rsidR="00F8531B" w:rsidRPr="00CA59B8" w:rsidRDefault="006266D1" w:rsidP="00CA59B8">
      <w:pPr>
        <w:spacing w:after="0" w:line="240" w:lineRule="auto"/>
        <w:ind w:firstLine="709"/>
        <w:jc w:val="center"/>
        <w:rPr>
          <w:rFonts w:ascii="Times New Roman" w:hAnsi="Times New Roman" w:cs="Times New Roman"/>
          <w:sz w:val="28"/>
          <w:szCs w:val="28"/>
        </w:rPr>
      </w:pPr>
      <w:hyperlink r:id="rId14" w:history="1">
        <w:r w:rsidR="0076058D" w:rsidRPr="00CA59B8">
          <w:rPr>
            <w:rStyle w:val="a3"/>
            <w:rFonts w:ascii="Times New Roman" w:hAnsi="Times New Roman" w:cs="Times New Roman"/>
            <w:color w:val="auto"/>
            <w:sz w:val="28"/>
            <w:szCs w:val="28"/>
            <w:u w:val="none"/>
            <w:lang w:val="en-US"/>
          </w:rPr>
          <w:t>povorova</w:t>
        </w:r>
        <w:r w:rsidR="0076058D" w:rsidRPr="00CA59B8">
          <w:rPr>
            <w:rStyle w:val="a3"/>
            <w:rFonts w:ascii="Times New Roman" w:hAnsi="Times New Roman" w:cs="Times New Roman"/>
            <w:color w:val="auto"/>
            <w:sz w:val="28"/>
            <w:szCs w:val="28"/>
            <w:u w:val="none"/>
          </w:rPr>
          <w:t>@</w:t>
        </w:r>
        <w:r w:rsidR="0076058D" w:rsidRPr="00CA59B8">
          <w:rPr>
            <w:rStyle w:val="a3"/>
            <w:rFonts w:ascii="Times New Roman" w:hAnsi="Times New Roman" w:cs="Times New Roman"/>
            <w:color w:val="auto"/>
            <w:sz w:val="28"/>
            <w:szCs w:val="28"/>
            <w:u w:val="none"/>
            <w:lang w:val="en-US"/>
          </w:rPr>
          <w:t>m</w:t>
        </w:r>
        <w:r w:rsidR="0076058D" w:rsidRPr="00CA59B8">
          <w:rPr>
            <w:rStyle w:val="a3"/>
            <w:rFonts w:ascii="Times New Roman" w:hAnsi="Times New Roman" w:cs="Times New Roman"/>
            <w:color w:val="auto"/>
            <w:sz w:val="28"/>
            <w:szCs w:val="28"/>
            <w:u w:val="none"/>
          </w:rPr>
          <w:t>.</w:t>
        </w:r>
        <w:r w:rsidR="0076058D" w:rsidRPr="00CA59B8">
          <w:rPr>
            <w:rStyle w:val="a3"/>
            <w:rFonts w:ascii="Times New Roman" w:hAnsi="Times New Roman" w:cs="Times New Roman"/>
            <w:color w:val="auto"/>
            <w:sz w:val="28"/>
            <w:szCs w:val="28"/>
            <w:u w:val="none"/>
            <w:lang w:val="en-US"/>
          </w:rPr>
          <w:t>msu</w:t>
        </w:r>
        <w:r w:rsidR="0076058D" w:rsidRPr="00CA59B8">
          <w:rPr>
            <w:rStyle w:val="a3"/>
            <w:rFonts w:ascii="Times New Roman" w:hAnsi="Times New Roman" w:cs="Times New Roman"/>
            <w:color w:val="auto"/>
            <w:sz w:val="28"/>
            <w:szCs w:val="28"/>
            <w:u w:val="none"/>
          </w:rPr>
          <w:t>.</w:t>
        </w:r>
        <w:r w:rsidR="0076058D" w:rsidRPr="00CA59B8">
          <w:rPr>
            <w:rStyle w:val="a3"/>
            <w:rFonts w:ascii="Times New Roman" w:hAnsi="Times New Roman" w:cs="Times New Roman"/>
            <w:color w:val="auto"/>
            <w:sz w:val="28"/>
            <w:szCs w:val="28"/>
            <w:u w:val="none"/>
            <w:lang w:val="en-US"/>
          </w:rPr>
          <w:t>by</w:t>
        </w:r>
      </w:hyperlink>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Позднякова Анастасия Семеновна</w:t>
      </w:r>
    </w:p>
    <w:p w:rsidR="00F8531B" w:rsidRDefault="0076058D" w:rsidP="00CA59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профессор кафедры пульмонологии, фтизиатрии, аллергологии и профпатологии с курсом ПК и П </w:t>
      </w:r>
    </w:p>
    <w:p w:rsidR="00F8531B" w:rsidRDefault="0076058D" w:rsidP="00CA59B8">
      <w:pPr>
        <w:spacing w:after="0" w:line="240" w:lineRule="auto"/>
        <w:ind w:firstLine="709"/>
        <w:jc w:val="center"/>
        <w:rPr>
          <w:rFonts w:ascii="Times New Roman" w:hAnsi="Times New Roman" w:cs="Times New Roman"/>
          <w:sz w:val="28"/>
        </w:rPr>
      </w:pPr>
      <w:r>
        <w:rPr>
          <w:rFonts w:ascii="Times New Roman" w:hAnsi="Times New Roman" w:cs="Times New Roman"/>
          <w:sz w:val="28"/>
          <w:szCs w:val="28"/>
        </w:rPr>
        <w:t>учреждения образования «Белорусский государственный медицинский университет»</w:t>
      </w:r>
      <w:r>
        <w:rPr>
          <w:rFonts w:ascii="Times New Roman" w:hAnsi="Times New Roman" w:cs="Times New Roman"/>
          <w:sz w:val="28"/>
          <w:szCs w:val="28"/>
          <w:shd w:val="clear" w:color="auto" w:fill="FFFFFF"/>
        </w:rPr>
        <w:t>;</w:t>
      </w:r>
      <w:r>
        <w:rPr>
          <w:rFonts w:ascii="Times New Roman" w:hAnsi="Times New Roman" w:cs="Times New Roman"/>
          <w:sz w:val="28"/>
        </w:rPr>
        <w:t xml:space="preserve"> доктор медицинских наук, </w:t>
      </w:r>
      <w:r>
        <w:rPr>
          <w:rFonts w:ascii="Times New Roman" w:hAnsi="Times New Roman" w:cs="Times New Roman"/>
          <w:sz w:val="28"/>
          <w:szCs w:val="28"/>
        </w:rPr>
        <w:t>профессор</w:t>
      </w:r>
    </w:p>
    <w:p w:rsidR="00F8531B" w:rsidRDefault="0076058D" w:rsidP="00CA59B8">
      <w:pPr>
        <w:spacing w:after="0" w:line="240" w:lineRule="auto"/>
        <w:ind w:firstLine="709"/>
        <w:jc w:val="center"/>
        <w:rPr>
          <w:rFonts w:ascii="Times New Roman" w:hAnsi="Times New Roman" w:cs="Times New Roman"/>
          <w:sz w:val="28"/>
          <w:lang w:val="en-US"/>
        </w:rPr>
      </w:pPr>
      <w:r>
        <w:rPr>
          <w:rFonts w:ascii="Times New Roman" w:hAnsi="Times New Roman" w:cs="Times New Roman"/>
          <w:sz w:val="28"/>
          <w:lang w:val="en-US"/>
        </w:rPr>
        <w:t>(</w:t>
      </w:r>
      <w:r>
        <w:rPr>
          <w:rFonts w:ascii="Times New Roman" w:hAnsi="Times New Roman" w:cs="Times New Roman"/>
          <w:sz w:val="28"/>
        </w:rPr>
        <w:t>г</w:t>
      </w:r>
      <w:r>
        <w:rPr>
          <w:rFonts w:ascii="Times New Roman" w:hAnsi="Times New Roman" w:cs="Times New Roman"/>
          <w:sz w:val="28"/>
          <w:lang w:val="en-US"/>
        </w:rPr>
        <w:t>. </w:t>
      </w:r>
      <w:r>
        <w:rPr>
          <w:rFonts w:ascii="Times New Roman" w:hAnsi="Times New Roman" w:cs="Times New Roman"/>
          <w:sz w:val="28"/>
        </w:rPr>
        <w:t>Минск</w:t>
      </w:r>
      <w:r>
        <w:rPr>
          <w:rFonts w:ascii="Times New Roman" w:hAnsi="Times New Roman" w:cs="Times New Roman"/>
          <w:sz w:val="28"/>
          <w:lang w:val="en-US"/>
        </w:rPr>
        <w:t xml:space="preserve">, </w:t>
      </w:r>
      <w:r>
        <w:rPr>
          <w:rFonts w:ascii="Times New Roman" w:hAnsi="Times New Roman" w:cs="Times New Roman"/>
          <w:sz w:val="28"/>
        </w:rPr>
        <w:t>Беларусь</w:t>
      </w:r>
      <w:r>
        <w:rPr>
          <w:rFonts w:ascii="Times New Roman" w:hAnsi="Times New Roman" w:cs="Times New Roman"/>
          <w:sz w:val="28"/>
          <w:lang w:val="en-US"/>
        </w:rPr>
        <w:t>)</w:t>
      </w:r>
    </w:p>
    <w:p w:rsidR="00F8531B" w:rsidRPr="002D11EF" w:rsidRDefault="0076058D" w:rsidP="00CA59B8">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anastasia</w:t>
      </w:r>
      <w:r w:rsidRPr="002D11EF">
        <w:rPr>
          <w:rFonts w:ascii="Times New Roman" w:hAnsi="Times New Roman" w:cs="Times New Roman"/>
          <w:sz w:val="28"/>
          <w:szCs w:val="28"/>
          <w:lang w:val="en-US"/>
        </w:rPr>
        <w:t>-</w:t>
      </w:r>
      <w:r>
        <w:rPr>
          <w:rFonts w:ascii="Times New Roman" w:hAnsi="Times New Roman" w:cs="Times New Roman"/>
          <w:sz w:val="28"/>
          <w:szCs w:val="28"/>
          <w:lang w:val="en-US"/>
        </w:rPr>
        <w:t>poz</w:t>
      </w:r>
      <w:r w:rsidRPr="002D11EF">
        <w:rPr>
          <w:rFonts w:ascii="Times New Roman" w:hAnsi="Times New Roman" w:cs="Times New Roman"/>
          <w:sz w:val="28"/>
          <w:szCs w:val="28"/>
          <w:lang w:val="en-US"/>
        </w:rPr>
        <w:t xml:space="preserve">@ </w:t>
      </w:r>
      <w:r>
        <w:rPr>
          <w:rFonts w:ascii="Times New Roman" w:hAnsi="Times New Roman" w:cs="Times New Roman"/>
          <w:sz w:val="28"/>
          <w:szCs w:val="28"/>
          <w:lang w:val="en-US"/>
        </w:rPr>
        <w:t>yandex</w:t>
      </w:r>
      <w:r w:rsidRPr="002D11EF">
        <w:rPr>
          <w:rFonts w:ascii="Times New Roman" w:hAnsi="Times New Roman" w:cs="Times New Roman"/>
          <w:sz w:val="28"/>
          <w:szCs w:val="28"/>
          <w:lang w:val="en-US"/>
        </w:rPr>
        <w:t>.</w:t>
      </w:r>
      <w:r>
        <w:rPr>
          <w:rFonts w:ascii="Times New Roman" w:hAnsi="Times New Roman" w:cs="Times New Roman"/>
          <w:sz w:val="28"/>
          <w:szCs w:val="28"/>
          <w:lang w:val="en-US"/>
        </w:rPr>
        <w:t>ru</w:t>
      </w:r>
    </w:p>
    <w:p w:rsidR="00F8531B" w:rsidRPr="002D11EF" w:rsidRDefault="00F8531B" w:rsidP="00CA59B8">
      <w:pPr>
        <w:spacing w:after="0" w:line="240" w:lineRule="auto"/>
        <w:ind w:firstLine="709"/>
        <w:jc w:val="center"/>
        <w:rPr>
          <w:rFonts w:ascii="Times New Roman" w:hAnsi="Times New Roman" w:cs="Times New Roman"/>
          <w:b/>
          <w:bCs/>
          <w:sz w:val="28"/>
          <w:szCs w:val="28"/>
          <w:lang w:val="en-US"/>
        </w:rPr>
      </w:pPr>
    </w:p>
    <w:p w:rsidR="00F8531B" w:rsidRPr="00302646" w:rsidRDefault="0076058D" w:rsidP="00CA59B8">
      <w:pPr>
        <w:tabs>
          <w:tab w:val="left" w:pos="720"/>
        </w:tabs>
        <w:spacing w:after="0" w:line="240" w:lineRule="auto"/>
        <w:ind w:firstLine="709"/>
        <w:jc w:val="both"/>
        <w:rPr>
          <w:rFonts w:ascii="Times New Roman" w:hAnsi="Times New Roman" w:cs="Times New Roman"/>
          <w:iCs/>
          <w:sz w:val="24"/>
          <w:szCs w:val="24"/>
        </w:rPr>
      </w:pPr>
      <w:r>
        <w:rPr>
          <w:rFonts w:ascii="Times New Roman" w:hAnsi="Times New Roman" w:cs="Times New Roman"/>
          <w:b/>
          <w:bCs/>
          <w:sz w:val="24"/>
          <w:szCs w:val="24"/>
          <w:lang w:val="be-BY"/>
        </w:rPr>
        <w:t>Аннотац</w:t>
      </w:r>
      <w:r>
        <w:rPr>
          <w:rFonts w:ascii="Times New Roman" w:hAnsi="Times New Roman" w:cs="Times New Roman"/>
          <w:b/>
          <w:bCs/>
          <w:sz w:val="24"/>
          <w:szCs w:val="24"/>
        </w:rPr>
        <w:t xml:space="preserve">ия. </w:t>
      </w:r>
      <w:r w:rsidRPr="00302646">
        <w:rPr>
          <w:rFonts w:ascii="Times New Roman" w:hAnsi="Times New Roman" w:cs="Times New Roman"/>
          <w:iCs/>
          <w:sz w:val="24"/>
          <w:szCs w:val="24"/>
        </w:rPr>
        <w:t>У лиц с ЛТИ по сравнению с группой ТБ статистически значимо (p&lt;0,05) ниже содержание: CD3+ Т-лимфоцитов – в 1,28 раза, CD8+ Т-цитотоксических клеток – в 1,33 раза, NK-клеток (CD16+56+) – в 1,35 раза, активированных Т-клеток (CD3+CD38+) – в 1,67 раза, NKT-подобных клеток (CD3−CD56+) – в 2,63 раза. Уровень содержания CD19+ В-лимфоцитов при ЛТИ в 1,23 раза выше, чем при ТБ (p=0,004). По содержанию лейкоцитов, общих лимфоцитов, CD4+ Т-хелперов и CD3+HLA-DR+ достоверных различий не выявлено.</w:t>
      </w:r>
    </w:p>
    <w:p w:rsidR="00F8531B" w:rsidRPr="00302646" w:rsidRDefault="0076058D" w:rsidP="00CA59B8">
      <w:pPr>
        <w:spacing w:after="0" w:line="240" w:lineRule="auto"/>
        <w:ind w:firstLine="709"/>
        <w:jc w:val="both"/>
        <w:rPr>
          <w:rFonts w:ascii="Times New Roman" w:hAnsi="Times New Roman" w:cs="Times New Roman"/>
          <w:iCs/>
          <w:sz w:val="24"/>
          <w:szCs w:val="24"/>
        </w:rPr>
      </w:pPr>
      <w:r w:rsidRPr="00302646">
        <w:rPr>
          <w:rFonts w:ascii="Times New Roman" w:hAnsi="Times New Roman" w:cs="Times New Roman"/>
          <w:b/>
          <w:bCs/>
          <w:sz w:val="24"/>
          <w:szCs w:val="24"/>
        </w:rPr>
        <w:t xml:space="preserve">Ключевые слова. </w:t>
      </w:r>
      <w:r w:rsidRPr="00302646">
        <w:rPr>
          <w:rFonts w:ascii="Times New Roman" w:hAnsi="Times New Roman" w:cs="Times New Roman"/>
          <w:iCs/>
          <w:sz w:val="24"/>
          <w:szCs w:val="24"/>
        </w:rPr>
        <w:t>Mycobacterium tuberculosis, субпопуляции лимфоцитов, латентная туберкулезная инфекция (ЛТИ), активный туберкулез легких</w:t>
      </w:r>
    </w:p>
    <w:p w:rsidR="00F8531B" w:rsidRDefault="00F8531B" w:rsidP="00CA59B8">
      <w:pPr>
        <w:spacing w:after="0" w:line="240" w:lineRule="auto"/>
        <w:ind w:firstLine="709"/>
        <w:jc w:val="both"/>
        <w:rPr>
          <w:rFonts w:ascii="Times New Roman" w:hAnsi="Times New Roman" w:cs="Times New Roman"/>
          <w:b/>
          <w:bCs/>
          <w:sz w:val="28"/>
          <w:szCs w:val="28"/>
        </w:rPr>
      </w:pP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6-10% здоровых людей имеются в норме значительные отклонения в содержании лимфоцитов от референсных значений [</w:t>
      </w:r>
      <w:r>
        <w:rPr>
          <w:rFonts w:ascii="Times New Roman" w:hAnsi="Times New Roman" w:cs="Times New Roman"/>
          <w:sz w:val="28"/>
          <w:szCs w:val="28"/>
          <w:lang w:val="be-BY"/>
        </w:rPr>
        <w:t>1, с. 124</w:t>
      </w:r>
      <w:r>
        <w:rPr>
          <w:rFonts w:ascii="Times New Roman" w:hAnsi="Times New Roman" w:cs="Times New Roman"/>
          <w:sz w:val="28"/>
          <w:szCs w:val="28"/>
        </w:rPr>
        <w:t xml:space="preserve">]. Уровень </w:t>
      </w:r>
      <w:r>
        <w:rPr>
          <w:rFonts w:ascii="Times New Roman" w:hAnsi="Times New Roman" w:cs="Times New Roman"/>
          <w:sz w:val="28"/>
          <w:szCs w:val="28"/>
        </w:rPr>
        <w:lastRenderedPageBreak/>
        <w:t xml:space="preserve">содержания субпопуляций лимфоцитов изменяются при стрессе, физической нагрузке, при всех заболеваниях, под влиянием лечения различными препаратами. Динамика изменений в содержании субпопуляций лимфоцитов отражает особенности течения заболеваний, что позволяет прогнозировать их развитие. Под фенотипом заболеваний понимают совокупность клинических признаков («портрет»), которые сформировались на генетическом уровне под влиянием факторов окружающей среды. Фенотип является отражением внешних проявлений заболеваний. По изменению фенотипа клеток и других показателей системы иммунитета можно прогнозировать течение патологического процесса. </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последние десятилетия о</w:t>
      </w:r>
      <w:r>
        <w:rPr>
          <w:rFonts w:ascii="Times New Roman" w:hAnsi="Times New Roman" w:cs="Times New Roman"/>
          <w:sz w:val="28"/>
          <w:szCs w:val="28"/>
          <w:lang w:val="be-BY"/>
        </w:rPr>
        <w:t xml:space="preserve">тмечается актвация ранее известных инфекционных болезней (туберкулеза, гепатитов, малярии), </w:t>
      </w:r>
      <w:r>
        <w:rPr>
          <w:rFonts w:ascii="Times New Roman" w:hAnsi="Times New Roman" w:cs="Times New Roman"/>
          <w:sz w:val="28"/>
          <w:szCs w:val="28"/>
        </w:rPr>
        <w:t>что обусловлено изменчивостью возбудителей, повышением чувствительности людей вследствие модуляции их иммунореактивности</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[2, </w:t>
      </w:r>
      <w:r>
        <w:rPr>
          <w:rFonts w:ascii="Times New Roman" w:hAnsi="Times New Roman" w:cs="Times New Roman"/>
          <w:sz w:val="28"/>
          <w:szCs w:val="28"/>
          <w:lang w:val="en-US"/>
        </w:rPr>
        <w:t>c</w:t>
      </w:r>
      <w:r>
        <w:rPr>
          <w:rFonts w:ascii="Times New Roman" w:hAnsi="Times New Roman" w:cs="Times New Roman"/>
          <w:sz w:val="28"/>
          <w:szCs w:val="28"/>
        </w:rPr>
        <w:t xml:space="preserve">. 163]. Основной стратегией борьбы с инфекциями в настоящее время является иммунопрофилактическое повышение неспецифической и специфической резистентности (иммунитета) на популяционном и индивидуальном уровне, чем и определяется актуальность данного исследования. При наличии в организме </w:t>
      </w:r>
      <w:r>
        <w:rPr>
          <w:rFonts w:ascii="Times New Roman" w:hAnsi="Times New Roman" w:cs="Times New Roman"/>
          <w:i/>
          <w:iCs/>
          <w:sz w:val="28"/>
          <w:szCs w:val="28"/>
        </w:rPr>
        <w:t>Mycobacterium tuberculosis</w:t>
      </w:r>
      <w:r>
        <w:rPr>
          <w:rFonts w:ascii="Times New Roman" w:hAnsi="Times New Roman" w:cs="Times New Roman"/>
          <w:sz w:val="28"/>
          <w:szCs w:val="28"/>
        </w:rPr>
        <w:t xml:space="preserve"> и отсутствии клинических проявлений активной формы туберкулеза формируется состояние стойкого иммунного ответа – латентная туберкулезная инфекция (ЛТИ), которая служит резервуаром туберкулезной инфекции. К факторам риска развития заболеваний туберкулезом у лиц с ЛТИ относятся заболевания бронхолегочной системы, сопровождающиеся снижением неспецифической резистентности респираторного тракта.</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Первыми значимыми индикаторами состояния иммунной системы служат уровень лейкоцитов и лейкоцитарная формула, изменения которой свидетельствуют о возможной инфекции и характере воспалительной реакции. При туберкулёзе к неспецифическим иммунологическим маркерам относят лимфоцитоз и, в определённой степени, моноцитоз [1, с. 120]. Микроорганизмы с внутриклеточным паразитированием презентируются преимущественно макрофагами, которые в ответ на антигенную стимуляцию секретируют интерлейкин-12, направляя дифференцировку Т-хелперов в сторону Тх1-типа [3, c.47], что активирует клеточный специфический иммунитет. Активация иммунной системы у лиц с ЛТИ может реализовываться в двух противоположных направлениях: как мобилизация защитных сил организма, обеспечивающая контроль над возбудителем, либо как развитие иммунопатологического процесса с формированием гиперчувствительности замедленного типа и цитопатических реакций, приводящего к повреждению тканей и переходу инфекции в активную форму. Для выявления особенностей в содержании субпопуляций лимфоцитов при ЛТИ и активном туберкулезе (ТБ) легких </w:t>
      </w:r>
      <w:r>
        <w:rPr>
          <w:rFonts w:ascii="Times New Roman" w:hAnsi="Times New Roman" w:cs="Times New Roman"/>
          <w:sz w:val="28"/>
          <w:szCs w:val="28"/>
        </w:rPr>
        <w:lastRenderedPageBreak/>
        <w:t>проанализированы результаты анализов иммунохимической лаборатории ГУ «Республиканский научно-практический центр пульмонологии и фтизиатрии» 18 пациентов с ЛТИ и 18 больных ТБ, находящихся на обследовании в 2025 г. Возрастные особенности:</w:t>
      </w:r>
      <w:r>
        <w:rPr>
          <w:rFonts w:ascii="Times New Roman" w:hAnsi="Times New Roman" w:cs="Times New Roman"/>
          <w:sz w:val="28"/>
          <w:szCs w:val="28"/>
          <w:lang w:val="be-BY"/>
        </w:rPr>
        <w:t xml:space="preserve"> ТБ – 46 </w:t>
      </w:r>
      <w:r>
        <w:rPr>
          <w:rFonts w:ascii="Times New Roman" w:hAnsi="Times New Roman" w:cs="Times New Roman"/>
          <w:sz w:val="28"/>
          <w:szCs w:val="28"/>
        </w:rPr>
        <w:t>[39;53] лет, минимальный и максимальный возраст – 17 и 66 лет; ЛТИ – 59 [41;69] лет, минимальный и максимальный возраст – 37 и 72 лет.</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сравнительного анализа иммунологических показателей у пациентов с ТБ и лиц с ЛТИ были выявлены как статистически значимые различия, так и показатели, не различающиеся между группами. Уровень содержания лейкоцитов и абсолютного количества лимфоцитов достоверно не различался между группами (p&gt;0,05), однако при ТБ наблюдался значительно больший разброс значений лейкоцитов (верхний квартиль 10,95 ×10</w:t>
      </w:r>
      <w:r w:rsidR="00122198" w:rsidRPr="00122198">
        <w:rPr>
          <w:rFonts w:ascii="Times New Roman" w:hAnsi="Times New Roman" w:cs="Times New Roman"/>
          <w:sz w:val="28"/>
          <w:szCs w:val="28"/>
          <w:vertAlign w:val="superscript"/>
        </w:rPr>
        <w:t>9</w:t>
      </w:r>
      <w:r>
        <w:rPr>
          <w:rFonts w:ascii="Times New Roman" w:hAnsi="Times New Roman" w:cs="Times New Roman"/>
          <w:sz w:val="28"/>
          <w:szCs w:val="28"/>
        </w:rPr>
        <w:t>/л при ТБ; 7,66 ×10</w:t>
      </w:r>
      <w:r w:rsidR="00122198" w:rsidRPr="00122198">
        <w:rPr>
          <w:rFonts w:ascii="Times New Roman" w:hAnsi="Times New Roman" w:cs="Times New Roman"/>
          <w:sz w:val="28"/>
          <w:szCs w:val="28"/>
          <w:vertAlign w:val="superscript"/>
        </w:rPr>
        <w:t>9</w:t>
      </w:r>
      <w:r>
        <w:rPr>
          <w:rFonts w:ascii="Times New Roman" w:hAnsi="Times New Roman" w:cs="Times New Roman"/>
          <w:sz w:val="28"/>
          <w:szCs w:val="28"/>
        </w:rPr>
        <w:t>/л при ЛТИ), что отражает наличие активного воспалительного процесса у части пациентов. При ЛТИ лейкоцитарный профиль оставался стабильным и приближенным к референсным значениям.</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Абсолютное количество общих Т-лимфоцитов (</w:t>
      </w:r>
      <w:r>
        <w:rPr>
          <w:rFonts w:ascii="Times New Roman" w:eastAsia="Times New Roman" w:hAnsi="Times New Roman" w:cs="Times New Roman"/>
          <w:sz w:val="28"/>
          <w:szCs w:val="28"/>
        </w:rPr>
        <w:t xml:space="preserve">CD3+CD45+) </w:t>
      </w:r>
      <w:r>
        <w:rPr>
          <w:rFonts w:ascii="Times New Roman" w:hAnsi="Times New Roman" w:cs="Times New Roman"/>
          <w:sz w:val="28"/>
          <w:szCs w:val="28"/>
        </w:rPr>
        <w:t xml:space="preserve">при ЛТИ составило </w:t>
      </w:r>
      <w:r>
        <w:rPr>
          <w:rFonts w:ascii="Times New Roman" w:eastAsia="Times New Roman" w:hAnsi="Times New Roman" w:cs="Times New Roman"/>
          <w:sz w:val="28"/>
          <w:szCs w:val="28"/>
        </w:rPr>
        <w:t>1436,0[1342,8;1955,0]</w:t>
      </w:r>
      <w:r w:rsidR="00122198">
        <w:rPr>
          <w:rFonts w:ascii="Times New Roman" w:hAnsi="Times New Roman" w:cs="Times New Roman"/>
          <w:sz w:val="28"/>
          <w:szCs w:val="28"/>
        </w:rPr>
        <w:t>×10</w:t>
      </w:r>
      <w:r w:rsidR="00122198">
        <w:rPr>
          <w:rFonts w:ascii="Times New Roman" w:hAnsi="Times New Roman" w:cs="Times New Roman"/>
          <w:sz w:val="28"/>
          <w:szCs w:val="28"/>
          <w:vertAlign w:val="superscript"/>
        </w:rPr>
        <w:t>6</w:t>
      </w:r>
      <w:r>
        <w:rPr>
          <w:rFonts w:ascii="Times New Roman" w:hAnsi="Times New Roman" w:cs="Times New Roman"/>
          <w:sz w:val="28"/>
          <w:szCs w:val="28"/>
        </w:rPr>
        <w:t xml:space="preserve">/л, что в 1,28 раза ниже, чем при ТБ (p=0,0279, </w:t>
      </w:r>
      <w:r>
        <w:rPr>
          <w:rFonts w:ascii="Times New Roman" w:hAnsi="Times New Roman" w:cs="Times New Roman"/>
          <w:sz w:val="28"/>
          <w:szCs w:val="28"/>
          <w:shd w:val="clear" w:color="auto" w:fill="FFFFFF"/>
        </w:rPr>
        <w:t>критерий Вальда-Вольфовица</w:t>
      </w:r>
      <w:r>
        <w:rPr>
          <w:rFonts w:ascii="Times New Roman" w:hAnsi="Times New Roman" w:cs="Times New Roman"/>
          <w:sz w:val="28"/>
          <w:szCs w:val="28"/>
        </w:rPr>
        <w:t>) и свидетельствует о менее интенсивной клеточной иммунной реакции при латентном течении инфекции по сравнению с активным процессом. В целом при инфекционных заболеваниях отмечается снижение зрелых покоящихся Т-клеток у 40-50% пациентов [4, с. 17]. Содержание хелперных Т-лимфоцитов (</w:t>
      </w:r>
      <w:r>
        <w:rPr>
          <w:rFonts w:ascii="Times New Roman" w:eastAsia="Times New Roman" w:hAnsi="Times New Roman" w:cs="Times New Roman"/>
          <w:sz w:val="28"/>
          <w:szCs w:val="28"/>
        </w:rPr>
        <w:t>CD3+CD4+CD45+)</w:t>
      </w:r>
      <w:r>
        <w:rPr>
          <w:rFonts w:ascii="Times New Roman" w:hAnsi="Times New Roman" w:cs="Times New Roman"/>
          <w:sz w:val="28"/>
          <w:szCs w:val="28"/>
        </w:rPr>
        <w:t> не имело статистически значимых различий между группами (p&gt;0,05), что указывает на то, что пул Т-хелперов сохраняется даже при активном туберкулёзе. В то же время уровень цитотоксических Т-лимфоцитов (</w:t>
      </w:r>
      <w:r>
        <w:rPr>
          <w:rFonts w:ascii="Times New Roman" w:eastAsia="Times New Roman" w:hAnsi="Times New Roman" w:cs="Times New Roman"/>
          <w:sz w:val="28"/>
          <w:szCs w:val="28"/>
        </w:rPr>
        <w:t>CD3+CD8+CD45+</w:t>
      </w:r>
      <w:r>
        <w:rPr>
          <w:rFonts w:ascii="Times New Roman" w:hAnsi="Times New Roman" w:cs="Times New Roman"/>
          <w:sz w:val="28"/>
          <w:szCs w:val="28"/>
        </w:rPr>
        <w:t>) при ЛТИ в 1,33 раза ниже (</w:t>
      </w:r>
      <w:r>
        <w:rPr>
          <w:rFonts w:ascii="Times New Roman" w:eastAsia="Times New Roman" w:hAnsi="Times New Roman" w:cs="Times New Roman"/>
          <w:sz w:val="28"/>
          <w:szCs w:val="28"/>
        </w:rPr>
        <w:t>365,0[273,2с621,8]</w:t>
      </w:r>
      <w:r>
        <w:rPr>
          <w:rFonts w:ascii="Times New Roman" w:hAnsi="Times New Roman" w:cs="Times New Roman"/>
          <w:sz w:val="28"/>
          <w:szCs w:val="28"/>
        </w:rPr>
        <w:t>×10</w:t>
      </w:r>
      <w:r w:rsidR="00122198">
        <w:rPr>
          <w:rFonts w:ascii="Times New Roman" w:hAnsi="Times New Roman" w:cs="Times New Roman"/>
          <w:sz w:val="28"/>
          <w:szCs w:val="28"/>
          <w:vertAlign w:val="superscript"/>
        </w:rPr>
        <w:t>6</w:t>
      </w:r>
      <w:r>
        <w:rPr>
          <w:rFonts w:ascii="Times New Roman" w:hAnsi="Times New Roman" w:cs="Times New Roman"/>
          <w:sz w:val="28"/>
          <w:szCs w:val="28"/>
        </w:rPr>
        <w:t xml:space="preserve">/л), чем при ТБ (p=0,0111, </w:t>
      </w:r>
      <w:r>
        <w:rPr>
          <w:rFonts w:ascii="Times New Roman" w:hAnsi="Times New Roman" w:cs="Times New Roman"/>
          <w:sz w:val="28"/>
          <w:szCs w:val="28"/>
          <w:shd w:val="clear" w:color="auto" w:fill="FFFFFF"/>
        </w:rPr>
        <w:t>критерий Вальда-Вольфовица</w:t>
      </w:r>
      <w:r>
        <w:rPr>
          <w:rFonts w:ascii="Times New Roman" w:hAnsi="Times New Roman" w:cs="Times New Roman"/>
          <w:sz w:val="28"/>
          <w:szCs w:val="28"/>
        </w:rPr>
        <w:t>). Это различие отражает активацию цитотоксического звена иммунитета именно при активном туберкулёзном воспалении, направленную на элиминацию инфицированных клеток. Иммунорегуляторный индекс CD4/CD8 при ЛТИ составил 2,3, что в 1,21 раза выше, чем при ТБ (1,9), однако данное различие не имеет статистической значимости (p&gt;0,05), что свидетельствует о сохранении относительного баланса основных регуляторных субпопуляций в обеих группах. Для уточнения выявленной тенденции требуются дальнейшие исследования с увеличением объёма выборки, так как данный показатель может выступать в качестве предиктора ТБ (снижение иммунорегуляторного индекса у ВИЧ-инфицированных больных может свидетельствовать о переходе в СПИД [4, с. 20]; повышение – об иммунопатологическом состоянии).</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Выявлено различие для В-лимфоцитов (</w:t>
      </w:r>
      <w:r>
        <w:rPr>
          <w:rFonts w:ascii="Times New Roman" w:eastAsia="Times New Roman" w:hAnsi="Times New Roman" w:cs="Times New Roman"/>
          <w:sz w:val="28"/>
          <w:szCs w:val="28"/>
        </w:rPr>
        <w:t>CD19+CD45+)</w:t>
      </w:r>
      <w:r>
        <w:rPr>
          <w:rFonts w:ascii="Times New Roman" w:hAnsi="Times New Roman" w:cs="Times New Roman"/>
          <w:sz w:val="28"/>
          <w:szCs w:val="28"/>
        </w:rPr>
        <w:t xml:space="preserve">. При ЛТИ их абсолютное количество составило </w:t>
      </w:r>
      <w:r>
        <w:rPr>
          <w:rFonts w:ascii="Times New Roman" w:eastAsia="Times New Roman" w:hAnsi="Times New Roman" w:cs="Times New Roman"/>
          <w:sz w:val="28"/>
          <w:szCs w:val="28"/>
        </w:rPr>
        <w:t>174,2[122,0;197,6]</w:t>
      </w:r>
      <w:r>
        <w:rPr>
          <w:rFonts w:ascii="Times New Roman" w:hAnsi="Times New Roman" w:cs="Times New Roman"/>
          <w:sz w:val="28"/>
          <w:szCs w:val="28"/>
        </w:rPr>
        <w:t>×10</w:t>
      </w:r>
      <w:r w:rsidR="00122198">
        <w:rPr>
          <w:rFonts w:ascii="Times New Roman" w:hAnsi="Times New Roman" w:cs="Times New Roman"/>
          <w:sz w:val="28"/>
          <w:szCs w:val="28"/>
          <w:vertAlign w:val="superscript"/>
        </w:rPr>
        <w:t>6</w:t>
      </w:r>
      <w:r>
        <w:rPr>
          <w:rFonts w:ascii="Times New Roman" w:hAnsi="Times New Roman" w:cs="Times New Roman"/>
          <w:sz w:val="28"/>
          <w:szCs w:val="28"/>
        </w:rPr>
        <w:t xml:space="preserve">/л, что в 1,23 </w:t>
      </w:r>
      <w:r>
        <w:rPr>
          <w:rFonts w:ascii="Times New Roman" w:hAnsi="Times New Roman" w:cs="Times New Roman"/>
          <w:sz w:val="28"/>
          <w:szCs w:val="28"/>
        </w:rPr>
        <w:lastRenderedPageBreak/>
        <w:t xml:space="preserve">раза выше, чем при ТБ (p=0,004, </w:t>
      </w:r>
      <w:r>
        <w:rPr>
          <w:rFonts w:ascii="Times New Roman" w:hAnsi="Times New Roman" w:cs="Times New Roman"/>
          <w:sz w:val="28"/>
          <w:szCs w:val="28"/>
          <w:shd w:val="clear" w:color="auto" w:fill="FFFFFF"/>
        </w:rPr>
        <w:t>критерий Вальда-Вольфовица</w:t>
      </w:r>
      <w:r>
        <w:rPr>
          <w:rFonts w:ascii="Times New Roman" w:hAnsi="Times New Roman" w:cs="Times New Roman"/>
          <w:sz w:val="28"/>
          <w:szCs w:val="28"/>
        </w:rPr>
        <w:t>). Повышение уровня В-клеток при ЛТИ может рассматриваться как компенсаторная активация гуморального иммунитета в условиях отсутствия выраженного деструктивного процесса. При активном ТБ, напротив, наблюдается относительное снижение В-клеток на фоне доминирования клеточного ответа.</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выраженное различие между группами зафиксировано для NKT-клеток (CD3+CD16+CD56+CD45). При ЛТИ их уровень оказался в 2,63 раза ниже (</w:t>
      </w:r>
      <w:r>
        <w:rPr>
          <w:rFonts w:ascii="Times New Roman" w:eastAsia="Times New Roman" w:hAnsi="Times New Roman" w:cs="Times New Roman"/>
          <w:sz w:val="28"/>
          <w:szCs w:val="28"/>
        </w:rPr>
        <w:t>252,5[147,0;522,6]</w:t>
      </w:r>
      <w:r>
        <w:rPr>
          <w:rFonts w:ascii="Times New Roman" w:hAnsi="Times New Roman" w:cs="Times New Roman"/>
          <w:sz w:val="28"/>
          <w:szCs w:val="28"/>
        </w:rPr>
        <w:t>×10</w:t>
      </w:r>
      <w:r w:rsidR="00122198">
        <w:rPr>
          <w:rFonts w:ascii="Times New Roman" w:hAnsi="Times New Roman" w:cs="Times New Roman"/>
          <w:sz w:val="28"/>
          <w:szCs w:val="28"/>
          <w:vertAlign w:val="superscript"/>
        </w:rPr>
        <w:t>6</w:t>
      </w:r>
      <w:r>
        <w:rPr>
          <w:rFonts w:ascii="Times New Roman" w:hAnsi="Times New Roman" w:cs="Times New Roman"/>
          <w:sz w:val="28"/>
          <w:szCs w:val="28"/>
        </w:rPr>
        <w:t xml:space="preserve">/л), чем при ТБ (p=0,0227, </w:t>
      </w:r>
      <w:r>
        <w:rPr>
          <w:rFonts w:ascii="Times New Roman" w:hAnsi="Times New Roman" w:cs="Times New Roman"/>
          <w:sz w:val="28"/>
          <w:szCs w:val="28"/>
          <w:shd w:val="clear" w:color="auto" w:fill="FFFFFF"/>
        </w:rPr>
        <w:t>критерий Манна-Уитни</w:t>
      </w:r>
      <w:r>
        <w:rPr>
          <w:rFonts w:ascii="Times New Roman" w:hAnsi="Times New Roman" w:cs="Times New Roman"/>
          <w:sz w:val="28"/>
          <w:szCs w:val="28"/>
        </w:rPr>
        <w:t>). Высокий разброс значений в группе ТБ (от 316,8 до 1049,4 ×10</w:t>
      </w:r>
      <w:r w:rsidR="00122198">
        <w:rPr>
          <w:rFonts w:ascii="Times New Roman" w:hAnsi="Times New Roman" w:cs="Times New Roman"/>
          <w:sz w:val="28"/>
          <w:szCs w:val="28"/>
          <w:vertAlign w:val="superscript"/>
        </w:rPr>
        <w:t>6</w:t>
      </w:r>
      <w:r>
        <w:rPr>
          <w:rFonts w:ascii="Times New Roman" w:hAnsi="Times New Roman" w:cs="Times New Roman"/>
          <w:sz w:val="28"/>
          <w:szCs w:val="28"/>
        </w:rPr>
        <w:t>/л) указывает на гетерогенность активации этого звена при активном заболевании, тогда как при ЛТИ уровень NKT-клеток остаётся стабильно низким. Содержание </w:t>
      </w:r>
      <w:r>
        <w:rPr>
          <w:rFonts w:ascii="Times New Roman" w:hAnsi="Times New Roman" w:cs="Times New Roman"/>
          <w:sz w:val="28"/>
          <w:szCs w:val="28"/>
          <w:lang w:val="en-US"/>
        </w:rPr>
        <w:t>NK</w:t>
      </w:r>
      <w:r>
        <w:rPr>
          <w:rFonts w:ascii="Times New Roman" w:hAnsi="Times New Roman" w:cs="Times New Roman"/>
          <w:sz w:val="28"/>
          <w:szCs w:val="28"/>
        </w:rPr>
        <w:t>-клеток (CD3−CD16+CD56+CD45+)</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при ЛТИ составило </w:t>
      </w:r>
      <w:r>
        <w:rPr>
          <w:rFonts w:ascii="Times New Roman" w:eastAsia="Times New Roman" w:hAnsi="Times New Roman" w:cs="Times New Roman"/>
          <w:sz w:val="28"/>
          <w:szCs w:val="28"/>
        </w:rPr>
        <w:t>140,2[84,2;159,5]</w:t>
      </w:r>
      <w:r>
        <w:rPr>
          <w:rFonts w:ascii="Times New Roman" w:hAnsi="Times New Roman" w:cs="Times New Roman"/>
          <w:sz w:val="28"/>
          <w:szCs w:val="28"/>
        </w:rPr>
        <w:t xml:space="preserve"> ×10</w:t>
      </w:r>
      <w:r w:rsidR="00122198">
        <w:rPr>
          <w:rFonts w:ascii="Times New Roman" w:hAnsi="Times New Roman" w:cs="Times New Roman"/>
          <w:sz w:val="28"/>
          <w:szCs w:val="28"/>
          <w:vertAlign w:val="superscript"/>
        </w:rPr>
        <w:t>6</w:t>
      </w:r>
      <w:r>
        <w:rPr>
          <w:rFonts w:ascii="Times New Roman" w:hAnsi="Times New Roman" w:cs="Times New Roman"/>
          <w:sz w:val="28"/>
          <w:szCs w:val="28"/>
        </w:rPr>
        <w:t xml:space="preserve">/л, что в 1,35 раза ниже, чем при ТБ (p=0,0111, </w:t>
      </w:r>
      <w:r>
        <w:rPr>
          <w:rFonts w:ascii="Times New Roman" w:hAnsi="Times New Roman" w:cs="Times New Roman"/>
          <w:sz w:val="28"/>
          <w:szCs w:val="28"/>
          <w:shd w:val="clear" w:color="auto" w:fill="FFFFFF"/>
        </w:rPr>
        <w:t>критерий Вальда-Вольфовица</w:t>
      </w:r>
      <w:r>
        <w:rPr>
          <w:rFonts w:ascii="Times New Roman" w:hAnsi="Times New Roman" w:cs="Times New Roman"/>
          <w:sz w:val="28"/>
          <w:szCs w:val="28"/>
        </w:rPr>
        <w:t>). При этом в группе ТБ отмечен значительно больший разброс (верхний квартиль 411,9 ×10</w:t>
      </w:r>
      <w:r w:rsidR="00122198" w:rsidRPr="00122198">
        <w:rPr>
          <w:rFonts w:ascii="Times New Roman" w:hAnsi="Times New Roman" w:cs="Times New Roman"/>
          <w:sz w:val="28"/>
          <w:szCs w:val="28"/>
          <w:vertAlign w:val="superscript"/>
        </w:rPr>
        <w:t>6</w:t>
      </w:r>
      <w:r>
        <w:rPr>
          <w:rFonts w:ascii="Times New Roman" w:hAnsi="Times New Roman" w:cs="Times New Roman"/>
          <w:sz w:val="28"/>
          <w:szCs w:val="28"/>
        </w:rPr>
        <w:t xml:space="preserve">/л), что свидетельствует о вовлечении врождённого иммунитета у части пациентов с активным процессом. Снижение содержания </w:t>
      </w:r>
      <w:r>
        <w:rPr>
          <w:rFonts w:ascii="Times New Roman" w:hAnsi="Times New Roman" w:cs="Times New Roman"/>
          <w:sz w:val="28"/>
          <w:szCs w:val="28"/>
          <w:lang w:val="en-US"/>
        </w:rPr>
        <w:t>NK</w:t>
      </w:r>
      <w:r>
        <w:rPr>
          <w:rFonts w:ascii="Times New Roman" w:hAnsi="Times New Roman" w:cs="Times New Roman"/>
          <w:sz w:val="28"/>
          <w:szCs w:val="28"/>
        </w:rPr>
        <w:t>-клеток отмечают при иммунодефицитном состоянии [4, с. 22].</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Уровень активированных Т-клеток с ранним маркёром активации </w:t>
      </w:r>
      <w:r>
        <w:rPr>
          <w:rFonts w:ascii="Times New Roman" w:eastAsia="Times New Roman" w:hAnsi="Times New Roman" w:cs="Times New Roman"/>
          <w:sz w:val="28"/>
          <w:szCs w:val="28"/>
        </w:rPr>
        <w:t xml:space="preserve">CD3+CD38+CD45+ </w:t>
      </w:r>
      <w:r>
        <w:rPr>
          <w:rFonts w:ascii="Times New Roman" w:hAnsi="Times New Roman" w:cs="Times New Roman"/>
          <w:sz w:val="28"/>
          <w:szCs w:val="28"/>
        </w:rPr>
        <w:t xml:space="preserve">при ЛТИ составил </w:t>
      </w:r>
      <w:r>
        <w:rPr>
          <w:rFonts w:ascii="Times New Roman" w:eastAsia="Times New Roman" w:hAnsi="Times New Roman" w:cs="Times New Roman"/>
          <w:sz w:val="28"/>
          <w:szCs w:val="28"/>
        </w:rPr>
        <w:t>475,6[416,6;574,2]</w:t>
      </w:r>
      <w:r>
        <w:rPr>
          <w:rFonts w:ascii="Times New Roman" w:hAnsi="Times New Roman" w:cs="Times New Roman"/>
          <w:sz w:val="28"/>
          <w:szCs w:val="28"/>
        </w:rPr>
        <w:t>×10</w:t>
      </w:r>
      <w:r w:rsidR="00122198" w:rsidRPr="00122198">
        <w:rPr>
          <w:rFonts w:ascii="Times New Roman" w:hAnsi="Times New Roman" w:cs="Times New Roman"/>
          <w:sz w:val="28"/>
          <w:szCs w:val="28"/>
          <w:vertAlign w:val="superscript"/>
        </w:rPr>
        <w:t>6</w:t>
      </w:r>
      <w:r>
        <w:rPr>
          <w:rFonts w:ascii="Times New Roman" w:hAnsi="Times New Roman" w:cs="Times New Roman"/>
          <w:sz w:val="28"/>
          <w:szCs w:val="28"/>
        </w:rPr>
        <w:t xml:space="preserve">/л, что в 1,67 раза ниже, чем при ТБ (p=0,0136, </w:t>
      </w:r>
      <w:r>
        <w:rPr>
          <w:rFonts w:ascii="Times New Roman" w:hAnsi="Times New Roman" w:cs="Times New Roman"/>
          <w:sz w:val="28"/>
          <w:szCs w:val="28"/>
          <w:shd w:val="clear" w:color="auto" w:fill="FFFFFF"/>
        </w:rPr>
        <w:t>критерий Манна-Уитни</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p </w:t>
      </w:r>
      <w:r>
        <w:rPr>
          <w:rFonts w:ascii="Times New Roman" w:eastAsia="Times New Roman" w:hAnsi="Times New Roman" w:cs="Times New Roman"/>
          <w:sz w:val="28"/>
          <w:szCs w:val="28"/>
        </w:rPr>
        <w:t xml:space="preserve">&lt;0,01, </w:t>
      </w:r>
      <w:r>
        <w:rPr>
          <w:rFonts w:ascii="Times New Roman" w:hAnsi="Times New Roman" w:cs="Times New Roman"/>
          <w:sz w:val="28"/>
          <w:szCs w:val="28"/>
        </w:rPr>
        <w:t>критерий Колмогорова-Смирнова</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p=0,0111, </w:t>
      </w:r>
      <w:r>
        <w:rPr>
          <w:rFonts w:ascii="Times New Roman" w:hAnsi="Times New Roman" w:cs="Times New Roman"/>
          <w:sz w:val="28"/>
          <w:szCs w:val="28"/>
          <w:shd w:val="clear" w:color="auto" w:fill="FFFFFF"/>
        </w:rPr>
        <w:t>критерий Вальда-Вольфовица</w:t>
      </w:r>
      <w:r>
        <w:rPr>
          <w:rFonts w:ascii="Times New Roman" w:hAnsi="Times New Roman" w:cs="Times New Roman"/>
          <w:sz w:val="28"/>
          <w:szCs w:val="28"/>
        </w:rPr>
        <w:t>). Данный факт отражает отсутствие острой антигенной стимуляции при латентной инфекции. В то же время содержание клеток с поздним маркёром активации CD3+HLA-DR+CD45+ не различалось между группа</w:t>
      </w:r>
      <w:r w:rsidR="00122198">
        <w:rPr>
          <w:rFonts w:ascii="Times New Roman" w:hAnsi="Times New Roman" w:cs="Times New Roman"/>
          <w:sz w:val="28"/>
          <w:szCs w:val="28"/>
        </w:rPr>
        <w:t>ми (медиана составила 302,8 ×10</w:t>
      </w:r>
      <w:r w:rsidR="00122198">
        <w:rPr>
          <w:rFonts w:ascii="Times New Roman" w:hAnsi="Times New Roman" w:cs="Times New Roman"/>
          <w:sz w:val="28"/>
          <w:szCs w:val="28"/>
          <w:vertAlign w:val="superscript"/>
        </w:rPr>
        <w:t>6</w:t>
      </w:r>
      <w:r>
        <w:rPr>
          <w:rFonts w:ascii="Times New Roman" w:hAnsi="Times New Roman" w:cs="Times New Roman"/>
          <w:sz w:val="28"/>
          <w:szCs w:val="28"/>
        </w:rPr>
        <w:t>/л при ЛТИ и 326,85 ×10</w:t>
      </w:r>
      <w:r w:rsidR="00122198">
        <w:rPr>
          <w:rFonts w:ascii="Times New Roman" w:hAnsi="Times New Roman" w:cs="Times New Roman"/>
          <w:sz w:val="28"/>
          <w:szCs w:val="28"/>
          <w:vertAlign w:val="superscript"/>
        </w:rPr>
        <w:t>6</w:t>
      </w:r>
      <w:r>
        <w:rPr>
          <w:rFonts w:ascii="Times New Roman" w:hAnsi="Times New Roman" w:cs="Times New Roman"/>
          <w:sz w:val="28"/>
          <w:szCs w:val="28"/>
        </w:rPr>
        <w:t>/л при ТБ, p&gt;0,05), что указывает на наличие длительной, хронической антигенной стимуляции в обеих группах, однако при ЛТИ она не сопровождается активным воспалением.</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иммунологический профиль при ЛТИ характеризуется:</w:t>
      </w:r>
    </w:p>
    <w:p w:rsidR="00F8531B" w:rsidRDefault="0076058D" w:rsidP="00CA59B8">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снижением (по сравнению с ТБ) уровня общих Т-лимфоцитов (</w:t>
      </w:r>
      <w:r>
        <w:rPr>
          <w:rFonts w:ascii="Times New Roman" w:eastAsia="Times New Roman" w:hAnsi="Times New Roman" w:cs="Times New Roman"/>
          <w:sz w:val="28"/>
          <w:szCs w:val="28"/>
        </w:rPr>
        <w:t xml:space="preserve">CD3+CD45+) </w:t>
      </w:r>
      <w:r>
        <w:rPr>
          <w:rFonts w:ascii="Times New Roman" w:hAnsi="Times New Roman" w:cs="Times New Roman"/>
          <w:sz w:val="28"/>
          <w:szCs w:val="28"/>
        </w:rPr>
        <w:t>в 1,28 раза, цитотоксических Т-лимфоцитов (</w:t>
      </w:r>
      <w:r>
        <w:rPr>
          <w:rFonts w:ascii="Times New Roman" w:eastAsia="Times New Roman" w:hAnsi="Times New Roman" w:cs="Times New Roman"/>
          <w:sz w:val="28"/>
          <w:szCs w:val="28"/>
        </w:rPr>
        <w:t>CD3+CD8+CD45+</w:t>
      </w:r>
      <w:r>
        <w:rPr>
          <w:rFonts w:ascii="Times New Roman" w:hAnsi="Times New Roman" w:cs="Times New Roman"/>
          <w:sz w:val="28"/>
          <w:szCs w:val="28"/>
        </w:rPr>
        <w:t>) в 1,33 раза, NK-клеток (CD3−CD16+CD56+CD45+) в 1,35 раза, активированных ранних Т-клеток (</w:t>
      </w:r>
      <w:r>
        <w:rPr>
          <w:rFonts w:ascii="Times New Roman" w:eastAsia="Times New Roman" w:hAnsi="Times New Roman" w:cs="Times New Roman"/>
          <w:sz w:val="28"/>
          <w:szCs w:val="28"/>
        </w:rPr>
        <w:t>CD3+CD38+CD45+)</w:t>
      </w:r>
      <w:r>
        <w:rPr>
          <w:rFonts w:ascii="Times New Roman" w:eastAsia="Times New Roman" w:hAnsi="Times New Roman" w:cs="Times New Roman"/>
          <w:sz w:val="24"/>
          <w:szCs w:val="24"/>
        </w:rPr>
        <w:t xml:space="preserve"> </w:t>
      </w:r>
      <w:r>
        <w:rPr>
          <w:rFonts w:ascii="Times New Roman" w:hAnsi="Times New Roman" w:cs="Times New Roman"/>
          <w:sz w:val="28"/>
          <w:szCs w:val="28"/>
        </w:rPr>
        <w:t>в 1,67 раза, NKT-клеток (CD3+CD16+CD56+CD45) в 2,63 раза;</w:t>
      </w:r>
    </w:p>
    <w:p w:rsidR="00F8531B" w:rsidRDefault="0076058D" w:rsidP="00CA59B8">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повышением уровня В-лимфоцитов (</w:t>
      </w:r>
      <w:r>
        <w:rPr>
          <w:rFonts w:ascii="Times New Roman" w:eastAsia="Times New Roman" w:hAnsi="Times New Roman" w:cs="Times New Roman"/>
          <w:sz w:val="28"/>
          <w:szCs w:val="28"/>
        </w:rPr>
        <w:t>CD19+CD45+)</w:t>
      </w:r>
      <w:r>
        <w:rPr>
          <w:rFonts w:ascii="Times New Roman" w:hAnsi="Times New Roman" w:cs="Times New Roman"/>
          <w:sz w:val="28"/>
          <w:szCs w:val="28"/>
        </w:rPr>
        <w:t xml:space="preserve"> в 1,23 раза;</w:t>
      </w:r>
    </w:p>
    <w:p w:rsidR="00F8531B" w:rsidRDefault="0076058D" w:rsidP="00CA59B8">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отсутствием значимых различий по содержанию лейкоцитов, общих лимфоцитов, хелперных (</w:t>
      </w:r>
      <w:r>
        <w:rPr>
          <w:rFonts w:ascii="Times New Roman" w:eastAsia="Times New Roman" w:hAnsi="Times New Roman" w:cs="Times New Roman"/>
          <w:sz w:val="28"/>
          <w:szCs w:val="28"/>
        </w:rPr>
        <w:t>CD3+CD4+CD45+)</w:t>
      </w:r>
      <w:r>
        <w:rPr>
          <w:rFonts w:ascii="Times New Roman" w:hAnsi="Times New Roman" w:cs="Times New Roman"/>
          <w:sz w:val="28"/>
          <w:szCs w:val="28"/>
        </w:rPr>
        <w:t> и активированных поздних Т-лимфоцитов (CD3+HLA-DR+CD45+).</w:t>
      </w:r>
    </w:p>
    <w:p w:rsidR="00F8531B" w:rsidRDefault="0076058D" w:rsidP="00CA5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Иммунный ответ при ЛТИ характеризуется сбалансированным профилем с относительным преобладанием гуморального звена и </w:t>
      </w:r>
      <w:r>
        <w:rPr>
          <w:rFonts w:ascii="Times New Roman" w:hAnsi="Times New Roman" w:cs="Times New Roman"/>
          <w:sz w:val="28"/>
          <w:szCs w:val="28"/>
        </w:rPr>
        <w:lastRenderedPageBreak/>
        <w:t>отсутствием выраженной цитотоксической и активационной экспансии, характерной для активного туберкулёза. Наиболее сильным дифференциально-диагностическим признаком ЛТИ служит низкий уровень NKT-подобных клеток (в 2,6 раза ниже, чем при ТБ) на фоне относительно повышенного содержания В-лимфоцитов.</w:t>
      </w:r>
    </w:p>
    <w:p w:rsidR="00F8531B" w:rsidRDefault="00F8531B" w:rsidP="00CA59B8">
      <w:pPr>
        <w:spacing w:after="0" w:line="240" w:lineRule="auto"/>
        <w:ind w:firstLine="709"/>
        <w:jc w:val="center"/>
        <w:rPr>
          <w:rFonts w:ascii="Times New Roman" w:hAnsi="Times New Roman" w:cs="Times New Roman"/>
        </w:rPr>
      </w:pPr>
    </w:p>
    <w:p w:rsidR="00F8531B" w:rsidRDefault="0076058D" w:rsidP="00CA59B8">
      <w:pPr>
        <w:spacing w:after="0" w:line="240" w:lineRule="auto"/>
        <w:ind w:firstLine="709"/>
        <w:jc w:val="center"/>
        <w:rPr>
          <w:rFonts w:ascii="Times New Roman" w:hAnsi="Times New Roman" w:cs="Times New Roman"/>
          <w:b/>
          <w:bCs/>
          <w:sz w:val="24"/>
          <w:szCs w:val="24"/>
        </w:rPr>
      </w:pPr>
      <w:r>
        <w:rPr>
          <w:rFonts w:ascii="Times New Roman" w:hAnsi="Times New Roman" w:cs="Times New Roman"/>
        </w:rPr>
        <w:tab/>
      </w:r>
      <w:r>
        <w:rPr>
          <w:rFonts w:ascii="Times New Roman" w:hAnsi="Times New Roman" w:cs="Times New Roman"/>
          <w:b/>
          <w:bCs/>
          <w:sz w:val="24"/>
          <w:szCs w:val="24"/>
        </w:rPr>
        <w:t>Список литературы</w:t>
      </w:r>
    </w:p>
    <w:p w:rsidR="00F8531B" w:rsidRDefault="0076058D" w:rsidP="00CA59B8">
      <w:pPr>
        <w:pStyle w:val="a8"/>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Новиков, Д. К. Клиническая иммунология и аллергология : учебник / Д. К. Новиков, П. Д. Новиков, Н. Д. Титова. – Минск : Вышейшая школа, 2019. – 495 с.</w:t>
      </w:r>
    </w:p>
    <w:p w:rsidR="00F8531B" w:rsidRDefault="0076058D" w:rsidP="00CA59B8">
      <w:pPr>
        <w:pStyle w:val="a8"/>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Новиков, Д. К. Клиническая иммунология / Д. К. Новиков, П. Д. Новиков. – Витебск : ВГМУ, 2006. – 392 с.</w:t>
      </w:r>
    </w:p>
    <w:p w:rsidR="00F8531B" w:rsidRDefault="0076058D" w:rsidP="00CA59B8">
      <w:pPr>
        <w:pStyle w:val="a8"/>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Новикова, И. А. Клиническая иммунология и аллергология : учебное пособие / И. А. Новикова. – Минск : Вышэйшая школа, 2021. – 383 с.</w:t>
      </w:r>
    </w:p>
    <w:p w:rsidR="00F8531B" w:rsidRDefault="0076058D" w:rsidP="00CA59B8">
      <w:pPr>
        <w:pStyle w:val="a8"/>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Титова Н. Д. Принципы оценки иммунного статуса и анализа иммунограмм у детей : учеб.-метод. пособие / Н. Д. Титова, О. В. Поворова. </w:t>
      </w:r>
      <w:r>
        <w:rPr>
          <w:rFonts w:ascii="Times New Roman" w:hAnsi="Times New Roman" w:cs="Times New Roman"/>
          <w:bCs/>
          <w:sz w:val="24"/>
          <w:szCs w:val="24"/>
          <w:shd w:val="clear" w:color="auto" w:fill="FFFFFF"/>
        </w:rPr>
        <w:t>–</w:t>
      </w:r>
      <w:r>
        <w:rPr>
          <w:rFonts w:ascii="Times New Roman" w:hAnsi="Times New Roman" w:cs="Times New Roman"/>
          <w:sz w:val="24"/>
          <w:szCs w:val="24"/>
        </w:rPr>
        <w:t xml:space="preserve"> Минск : БелМАПО, 2021. </w:t>
      </w:r>
      <w:r>
        <w:rPr>
          <w:rFonts w:ascii="Times New Roman" w:hAnsi="Times New Roman" w:cs="Times New Roman"/>
          <w:bCs/>
          <w:sz w:val="24"/>
          <w:szCs w:val="24"/>
          <w:shd w:val="clear" w:color="auto" w:fill="FFFFFF"/>
        </w:rPr>
        <w:t>–</w:t>
      </w:r>
      <w:r>
        <w:rPr>
          <w:rFonts w:ascii="Times New Roman" w:hAnsi="Times New Roman" w:cs="Times New Roman"/>
          <w:sz w:val="24"/>
          <w:szCs w:val="24"/>
        </w:rPr>
        <w:t xml:space="preserve"> 46 с.</w:t>
      </w:r>
    </w:p>
    <w:p w:rsidR="00F8531B" w:rsidRDefault="00F8531B">
      <w:pPr>
        <w:spacing w:after="0" w:line="240" w:lineRule="auto"/>
        <w:jc w:val="both"/>
        <w:rPr>
          <w:rFonts w:ascii="Times New Roman" w:hAnsi="Times New Roman" w:cs="Times New Roman"/>
          <w:sz w:val="28"/>
          <w:szCs w:val="28"/>
        </w:rPr>
      </w:pPr>
    </w:p>
    <w:p w:rsidR="00F8531B" w:rsidRPr="00122198" w:rsidRDefault="0076058D" w:rsidP="00122198">
      <w:pPr>
        <w:spacing w:after="0" w:line="240" w:lineRule="auto"/>
        <w:ind w:firstLine="709"/>
        <w:jc w:val="center"/>
        <w:rPr>
          <w:rFonts w:ascii="Times New Roman" w:hAnsi="Times New Roman" w:cs="Times New Roman"/>
          <w:b/>
          <w:bCs/>
          <w:sz w:val="28"/>
          <w:szCs w:val="28"/>
        </w:rPr>
      </w:pPr>
      <w:bookmarkStart w:id="0" w:name="_GoBack"/>
      <w:r w:rsidRPr="00122198">
        <w:rPr>
          <w:rFonts w:ascii="Times New Roman" w:hAnsi="Times New Roman" w:cs="Times New Roman"/>
          <w:b/>
          <w:bCs/>
          <w:caps/>
          <w:sz w:val="28"/>
          <w:szCs w:val="28"/>
        </w:rPr>
        <w:t>Юридические аспекты трансплантации органов и тканей на территории Республики Беларусь</w:t>
      </w:r>
    </w:p>
    <w:p w:rsidR="00F8531B" w:rsidRPr="00122198" w:rsidRDefault="00F8531B" w:rsidP="00122198">
      <w:pPr>
        <w:spacing w:after="0" w:line="240" w:lineRule="auto"/>
        <w:ind w:firstLine="709"/>
        <w:jc w:val="center"/>
        <w:rPr>
          <w:rFonts w:ascii="Times New Roman" w:hAnsi="Times New Roman" w:cs="Times New Roman"/>
          <w:b/>
          <w:bCs/>
          <w:sz w:val="28"/>
          <w:szCs w:val="28"/>
        </w:rPr>
      </w:pPr>
    </w:p>
    <w:p w:rsidR="00F8531B" w:rsidRPr="00122198" w:rsidRDefault="0076058D" w:rsidP="00122198">
      <w:pPr>
        <w:spacing w:after="0" w:line="240" w:lineRule="auto"/>
        <w:ind w:firstLine="709"/>
        <w:jc w:val="center"/>
        <w:rPr>
          <w:rFonts w:ascii="Times New Roman" w:hAnsi="Times New Roman" w:cs="Times New Roman"/>
          <w:b/>
          <w:bCs/>
          <w:sz w:val="28"/>
          <w:szCs w:val="28"/>
        </w:rPr>
      </w:pPr>
      <w:r w:rsidRPr="00122198">
        <w:rPr>
          <w:rFonts w:ascii="Times New Roman" w:hAnsi="Times New Roman" w:cs="Times New Roman"/>
          <w:b/>
          <w:bCs/>
          <w:sz w:val="28"/>
          <w:szCs w:val="28"/>
        </w:rPr>
        <w:t>Узденова-Держинская Даяна Башировна</w:t>
      </w:r>
    </w:p>
    <w:p w:rsidR="00F8531B" w:rsidRPr="00122198" w:rsidRDefault="0076058D" w:rsidP="00122198">
      <w:pPr>
        <w:spacing w:after="0" w:line="240" w:lineRule="auto"/>
        <w:ind w:firstLine="709"/>
        <w:jc w:val="center"/>
        <w:rPr>
          <w:rFonts w:ascii="Times New Roman" w:hAnsi="Times New Roman" w:cs="Times New Roman"/>
          <w:sz w:val="28"/>
          <w:szCs w:val="28"/>
        </w:rPr>
      </w:pPr>
      <w:r w:rsidRPr="00122198">
        <w:rPr>
          <w:rFonts w:ascii="Times New Roman" w:hAnsi="Times New Roman" w:cs="Times New Roman"/>
          <w:sz w:val="28"/>
          <w:szCs w:val="28"/>
        </w:rPr>
        <w:t xml:space="preserve">Студент магистрант кафедры «Юриспруденция» </w:t>
      </w:r>
    </w:p>
    <w:p w:rsidR="00F8531B" w:rsidRPr="00122198" w:rsidRDefault="0076058D" w:rsidP="00122198">
      <w:pPr>
        <w:spacing w:after="0" w:line="240" w:lineRule="auto"/>
        <w:ind w:firstLine="709"/>
        <w:jc w:val="center"/>
        <w:rPr>
          <w:rFonts w:ascii="Times New Roman" w:hAnsi="Times New Roman" w:cs="Times New Roman"/>
          <w:sz w:val="28"/>
          <w:szCs w:val="28"/>
        </w:rPr>
      </w:pPr>
      <w:r w:rsidRPr="00122198">
        <w:rPr>
          <w:rFonts w:ascii="Times New Roman" w:hAnsi="Times New Roman" w:cs="Times New Roman"/>
          <w:sz w:val="28"/>
          <w:szCs w:val="28"/>
        </w:rPr>
        <w:t>Учреждение образования «Могилевский государственный университет имении А.А. Кулешова.</w:t>
      </w:r>
    </w:p>
    <w:p w:rsidR="00F8531B" w:rsidRPr="00122198" w:rsidRDefault="0076058D" w:rsidP="00122198">
      <w:pPr>
        <w:spacing w:after="0" w:line="240" w:lineRule="auto"/>
        <w:ind w:firstLine="709"/>
        <w:jc w:val="center"/>
        <w:rPr>
          <w:rFonts w:ascii="Times New Roman" w:hAnsi="Times New Roman" w:cs="Times New Roman"/>
          <w:sz w:val="28"/>
          <w:szCs w:val="28"/>
        </w:rPr>
      </w:pPr>
      <w:r w:rsidRPr="00122198">
        <w:rPr>
          <w:rFonts w:ascii="Times New Roman" w:hAnsi="Times New Roman" w:cs="Times New Roman"/>
          <w:sz w:val="28"/>
          <w:szCs w:val="28"/>
        </w:rPr>
        <w:t>(г. Могилев, Беларусь)</w:t>
      </w:r>
    </w:p>
    <w:p w:rsidR="00F8531B" w:rsidRPr="00122198" w:rsidRDefault="0076058D" w:rsidP="00122198">
      <w:pPr>
        <w:spacing w:after="0" w:line="240" w:lineRule="auto"/>
        <w:ind w:firstLine="709"/>
        <w:jc w:val="center"/>
        <w:rPr>
          <w:rFonts w:ascii="Times New Roman" w:hAnsi="Times New Roman" w:cs="Times New Roman"/>
          <w:b/>
          <w:bCs/>
          <w:sz w:val="28"/>
          <w:szCs w:val="28"/>
        </w:rPr>
      </w:pPr>
      <w:r w:rsidRPr="00122198">
        <w:rPr>
          <w:rFonts w:ascii="Times New Roman" w:hAnsi="Times New Roman" w:cs="Times New Roman"/>
          <w:sz w:val="28"/>
          <w:szCs w:val="28"/>
          <w:lang w:val="en-US"/>
        </w:rPr>
        <w:t>uzdenova</w:t>
      </w:r>
      <w:r w:rsidRPr="00122198">
        <w:rPr>
          <w:rFonts w:ascii="Times New Roman" w:hAnsi="Times New Roman" w:cs="Times New Roman"/>
          <w:sz w:val="28"/>
          <w:szCs w:val="28"/>
        </w:rPr>
        <w:t>124@</w:t>
      </w:r>
      <w:r w:rsidRPr="00122198">
        <w:rPr>
          <w:rFonts w:ascii="Times New Roman" w:hAnsi="Times New Roman" w:cs="Times New Roman"/>
          <w:sz w:val="28"/>
          <w:szCs w:val="28"/>
          <w:lang w:val="en-US"/>
        </w:rPr>
        <w:t>gmail</w:t>
      </w:r>
      <w:r w:rsidRPr="00122198">
        <w:rPr>
          <w:rFonts w:ascii="Times New Roman" w:hAnsi="Times New Roman" w:cs="Times New Roman"/>
          <w:sz w:val="28"/>
          <w:szCs w:val="28"/>
        </w:rPr>
        <w:t>.</w:t>
      </w:r>
      <w:r w:rsidRPr="00122198">
        <w:rPr>
          <w:rFonts w:ascii="Times New Roman" w:hAnsi="Times New Roman" w:cs="Times New Roman"/>
          <w:sz w:val="28"/>
          <w:szCs w:val="28"/>
          <w:lang w:val="en-US"/>
        </w:rPr>
        <w:t>com</w:t>
      </w:r>
    </w:p>
    <w:bookmarkEnd w:id="0"/>
    <w:p w:rsidR="00F8531B" w:rsidRDefault="00F8531B" w:rsidP="00122198">
      <w:pPr>
        <w:spacing w:after="0" w:line="240" w:lineRule="auto"/>
        <w:ind w:firstLine="709"/>
        <w:jc w:val="both"/>
        <w:rPr>
          <w:rFonts w:ascii="Times New Roman" w:hAnsi="Times New Roman" w:cs="Times New Roman"/>
          <w:b/>
          <w:bCs/>
          <w:sz w:val="28"/>
          <w:szCs w:val="28"/>
        </w:rPr>
      </w:pPr>
    </w:p>
    <w:p w:rsidR="00F8531B" w:rsidRPr="00122198" w:rsidRDefault="0076058D" w:rsidP="00122198">
      <w:pPr>
        <w:spacing w:after="0" w:line="240" w:lineRule="auto"/>
        <w:ind w:firstLine="709"/>
        <w:jc w:val="both"/>
        <w:rPr>
          <w:rFonts w:ascii="Times New Roman" w:hAnsi="Times New Roman" w:cs="Times New Roman"/>
          <w:sz w:val="24"/>
          <w:szCs w:val="24"/>
        </w:rPr>
      </w:pPr>
      <w:r w:rsidRPr="00122198">
        <w:rPr>
          <w:rFonts w:ascii="Times New Roman" w:hAnsi="Times New Roman" w:cs="Times New Roman"/>
          <w:b/>
          <w:bCs/>
          <w:sz w:val="24"/>
          <w:szCs w:val="24"/>
        </w:rPr>
        <w:t>Аннотация.</w:t>
      </w:r>
      <w:r w:rsidRPr="00122198">
        <w:rPr>
          <w:rFonts w:ascii="Times New Roman" w:hAnsi="Times New Roman" w:cs="Times New Roman"/>
          <w:sz w:val="24"/>
          <w:szCs w:val="24"/>
        </w:rPr>
        <w:t xml:space="preserve"> Актуальность: Современное развитие трансплантологии требует четкого правового регулирования, обеспечивающего безопасность, этичность и законность процедур донорства и пересадки органов и тканей. В Беларуси вопрос правового обеспечения данной сферы приобретает особую значимость в связи с ростом числа трансплантационных операций и необходимости соблюдения международных стандартов.</w:t>
      </w:r>
    </w:p>
    <w:p w:rsidR="00F8531B" w:rsidRPr="00122198" w:rsidRDefault="0076058D" w:rsidP="00122198">
      <w:pPr>
        <w:spacing w:after="0" w:line="240" w:lineRule="auto"/>
        <w:ind w:firstLine="709"/>
        <w:jc w:val="both"/>
        <w:rPr>
          <w:rFonts w:ascii="Times New Roman" w:hAnsi="Times New Roman" w:cs="Times New Roman"/>
          <w:sz w:val="24"/>
          <w:szCs w:val="24"/>
        </w:rPr>
      </w:pPr>
      <w:r w:rsidRPr="00122198">
        <w:rPr>
          <w:rFonts w:ascii="Times New Roman" w:hAnsi="Times New Roman" w:cs="Times New Roman"/>
          <w:sz w:val="24"/>
          <w:szCs w:val="24"/>
        </w:rPr>
        <w:t>Цель: проанализировать юридические основы регулирования трансплантации органов и тканей на территории Республики Беларусь, выявить основные правовые проблемы и предложить пути их решения.</w:t>
      </w:r>
    </w:p>
    <w:p w:rsidR="00F8531B" w:rsidRPr="00122198" w:rsidRDefault="0076058D" w:rsidP="00122198">
      <w:pPr>
        <w:pStyle w:val="min-w-0"/>
        <w:spacing w:before="0" w:beforeAutospacing="0" w:after="0" w:afterAutospacing="0"/>
        <w:ind w:firstLine="709"/>
        <w:jc w:val="both"/>
      </w:pPr>
      <w:r w:rsidRPr="00122198">
        <w:rPr>
          <w:rStyle w:val="font-semibold"/>
        </w:rPr>
        <w:t>Метод:</w:t>
      </w:r>
      <w:r w:rsidRPr="00122198">
        <w:t xml:space="preserve"> В работе использовался комплекс методов правового анализа, включая сравнительный анализ законодательства, систематизацию нормативных актов и правовых норм, а также доктринальных источников.</w:t>
      </w:r>
    </w:p>
    <w:p w:rsidR="00F8531B" w:rsidRPr="00122198" w:rsidRDefault="0076058D" w:rsidP="00122198">
      <w:pPr>
        <w:pStyle w:val="min-w-0"/>
        <w:spacing w:before="0" w:beforeAutospacing="0" w:after="0" w:afterAutospacing="0"/>
        <w:ind w:firstLine="709"/>
        <w:jc w:val="both"/>
      </w:pPr>
      <w:r w:rsidRPr="00122198">
        <w:rPr>
          <w:rStyle w:val="font-semibold"/>
        </w:rPr>
        <w:t>Результат:</w:t>
      </w:r>
      <w:r w:rsidRPr="00122198">
        <w:t xml:space="preserve"> На основе исследования выявлены основные правовые механизмы, регулирующие донорство и трансплантацию в Беларуси, а также определены существующие правовые пробелы и противоречия. Разработаны рекомендации по совершенствованию законодательства с целью повышения правовой защищенности участников трансплантационных процессов.</w:t>
      </w:r>
    </w:p>
    <w:p w:rsidR="00F8531B" w:rsidRPr="00122198" w:rsidRDefault="0076058D" w:rsidP="00122198">
      <w:pPr>
        <w:pStyle w:val="min-w-0"/>
        <w:spacing w:before="0" w:beforeAutospacing="0" w:after="0" w:afterAutospacing="0"/>
        <w:ind w:firstLine="709"/>
        <w:jc w:val="both"/>
        <w:rPr>
          <w:rStyle w:val="a4"/>
          <w:b w:val="0"/>
          <w:bCs w:val="0"/>
        </w:rPr>
      </w:pPr>
      <w:r w:rsidRPr="00122198">
        <w:rPr>
          <w:rStyle w:val="font-semibold"/>
        </w:rPr>
        <w:t>Выводы:</w:t>
      </w:r>
      <w:r w:rsidRPr="00122198">
        <w:t xml:space="preserve"> Правовое регулирование трансплантации в Беларуси соответствует современным международным стандартам, однако требует дальнейшего совершенствования для повышения эффективности и этичности процедур, защиты прав пациентов и доноров.</w:t>
      </w:r>
    </w:p>
    <w:p w:rsidR="00F8531B" w:rsidRPr="00122198" w:rsidRDefault="0076058D" w:rsidP="00122198">
      <w:pPr>
        <w:spacing w:after="0" w:line="240" w:lineRule="auto"/>
        <w:ind w:firstLine="709"/>
        <w:jc w:val="both"/>
        <w:rPr>
          <w:rFonts w:ascii="Times New Roman" w:eastAsia="Times New Roman" w:hAnsi="Times New Roman" w:cs="Times New Roman"/>
          <w:sz w:val="24"/>
          <w:szCs w:val="24"/>
        </w:rPr>
      </w:pPr>
      <w:r w:rsidRPr="00122198">
        <w:rPr>
          <w:rStyle w:val="a4"/>
          <w:rFonts w:ascii="Times New Roman" w:hAnsi="Times New Roman" w:cs="Times New Roman"/>
          <w:sz w:val="24"/>
          <w:szCs w:val="24"/>
        </w:rPr>
        <w:lastRenderedPageBreak/>
        <w:t>Ключевые слова</w:t>
      </w:r>
      <w:r w:rsidR="003B51DE">
        <w:rPr>
          <w:rStyle w:val="a4"/>
          <w:rFonts w:ascii="Times New Roman" w:hAnsi="Times New Roman" w:cs="Times New Roman"/>
          <w:sz w:val="24"/>
          <w:szCs w:val="24"/>
        </w:rPr>
        <w:t>.</w:t>
      </w:r>
      <w:r w:rsidRPr="00122198">
        <w:rPr>
          <w:rStyle w:val="a4"/>
          <w:rFonts w:ascii="Times New Roman" w:hAnsi="Times New Roman" w:cs="Times New Roman"/>
          <w:sz w:val="24"/>
          <w:szCs w:val="24"/>
        </w:rPr>
        <w:t xml:space="preserve"> </w:t>
      </w:r>
      <w:r w:rsidRPr="00122198">
        <w:rPr>
          <w:rFonts w:ascii="Times New Roman" w:eastAsia="Times New Roman" w:hAnsi="Times New Roman" w:cs="Times New Roman"/>
          <w:sz w:val="24"/>
          <w:szCs w:val="24"/>
        </w:rPr>
        <w:t>Трансплантация. Органы и ткани. Юридические аспекты. Правовое регулирование. Республика Беларусь. Донорство. Законодательство. Этические нормы</w:t>
      </w:r>
    </w:p>
    <w:p w:rsidR="00F8531B" w:rsidRDefault="00F8531B" w:rsidP="00122198">
      <w:pPr>
        <w:spacing w:after="0" w:line="240" w:lineRule="auto"/>
        <w:ind w:firstLine="709"/>
        <w:jc w:val="both"/>
        <w:rPr>
          <w:rFonts w:ascii="Times New Roman" w:eastAsia="Times New Roman" w:hAnsi="Times New Roman" w:cs="Times New Roman"/>
          <w:sz w:val="28"/>
          <w:szCs w:val="28"/>
        </w:rPr>
      </w:pPr>
    </w:p>
    <w:p w:rsidR="00F8531B" w:rsidRDefault="0076058D" w:rsidP="001221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Трансплантация органов и тканей — одна из наиболее сложных и этически обоснованных медицинских процедур, направленных на спасение и улучшение качества жизни пациентов с тяжелыми заболеваниями внутренних органов. В Республике Беларусь эта сфера регулируется специальными нормативными актами, обеспечивающими правовые основы этичного и безопасного проведения таких операций. Правовая база, регулирующая вопросы донорства, трансплантации и связанные с ними этические принципы, играет важнейшую роль в обеспечении прав и свобод участников процесса — доноров, реципиентов и медицинских работников. В данной статье рассмотрены основные юридические аспекты трансплантации органов и тканей в Беларуси, включая законодательные нормы, порядок получения согласия, регистрацию доноров и международное сотрудничество. </w:t>
      </w:r>
    </w:p>
    <w:p w:rsidR="00F8531B" w:rsidRDefault="0076058D" w:rsidP="00122198">
      <w:pPr>
        <w:pStyle w:val="min-w-0"/>
        <w:spacing w:before="0" w:beforeAutospacing="0" w:after="0" w:afterAutospacing="0"/>
        <w:ind w:firstLine="709"/>
        <w:jc w:val="both"/>
        <w:rPr>
          <w:sz w:val="28"/>
          <w:szCs w:val="28"/>
        </w:rPr>
      </w:pPr>
      <w:r>
        <w:rPr>
          <w:sz w:val="28"/>
          <w:szCs w:val="28"/>
        </w:rPr>
        <w:t>Основным нормативным документом, регулирующим вопросы трансплантации, является Закон Республики Беларусь «Об охране здоровья граждан» и ряд подзаконных нормативных актов Министерства здравоохранения. В частности, важное значение имеют постановления, регламентирующие порядок донорства, распределения органов, а также нормы, направленные на предотвращение незаконных операций.</w:t>
      </w:r>
    </w:p>
    <w:p w:rsidR="00F8531B" w:rsidRDefault="0076058D" w:rsidP="00122198">
      <w:pPr>
        <w:pStyle w:val="min-w-0"/>
        <w:spacing w:before="0" w:beforeAutospacing="0" w:after="0" w:afterAutospacing="0"/>
        <w:ind w:firstLine="709"/>
        <w:jc w:val="both"/>
        <w:rPr>
          <w:sz w:val="28"/>
          <w:szCs w:val="28"/>
        </w:rPr>
      </w:pPr>
      <w:r>
        <w:rPr>
          <w:sz w:val="28"/>
          <w:szCs w:val="28"/>
        </w:rPr>
        <w:t>В 2009 году Беларусь приняла Закон «Об трансплантации органов и тканей человека», который систематизировал правовые основы этого вида медицинской деятельности. Закон определяет, что трансплантация может осуществляться только в рамках государственной системы, под контролем профильных государственных органов, с учетом этических требований и стандартов безопасности. Он устанавливает, что донорство может быть как живым, так и посмертным, при этом обязательно наличие добровольного согласия донора или его законных представителей [1].</w:t>
      </w:r>
    </w:p>
    <w:p w:rsidR="00F8531B" w:rsidRDefault="0076058D" w:rsidP="00122198">
      <w:pPr>
        <w:pStyle w:val="min-w-0"/>
        <w:spacing w:before="0" w:beforeAutospacing="0" w:after="0" w:afterAutospacing="0"/>
        <w:ind w:firstLine="709"/>
        <w:jc w:val="both"/>
        <w:rPr>
          <w:sz w:val="28"/>
          <w:szCs w:val="28"/>
        </w:rPr>
      </w:pPr>
      <w:r>
        <w:rPr>
          <w:sz w:val="28"/>
          <w:szCs w:val="28"/>
        </w:rPr>
        <w:t>Также в стране действует нормативный акт, регулирующий порядок оценки состояния здоровья потенциальных доноров, их медицинское освидетельствование и оформление документации. Важной составляющей является прописанный в законе принцип добровольности и информированности, который обеспечивает право каждого гражданина отказать или согласиться на донорство.</w:t>
      </w:r>
    </w:p>
    <w:p w:rsidR="00F8531B" w:rsidRDefault="0076058D" w:rsidP="00122198">
      <w:pPr>
        <w:pStyle w:val="min-w-0"/>
        <w:spacing w:before="0" w:beforeAutospacing="0" w:after="0" w:afterAutospacing="0"/>
        <w:ind w:firstLine="709"/>
        <w:jc w:val="both"/>
        <w:rPr>
          <w:sz w:val="28"/>
          <w:szCs w:val="28"/>
        </w:rPr>
      </w:pPr>
      <w:r>
        <w:rPr>
          <w:sz w:val="28"/>
          <w:szCs w:val="28"/>
        </w:rPr>
        <w:t>Ключевым моментом в правовой системе Беларуси является обязательность получения личного информированного согласия. Закон четко предусматривает, что донор или его законный представитель должны дать письменное согласие, после получения полной информации о процедуре, возможных рисках и последствиях. Это обеспечивает более высокий уровень этической защиты участников [2].</w:t>
      </w:r>
    </w:p>
    <w:p w:rsidR="00F8531B" w:rsidRDefault="0076058D" w:rsidP="00122198">
      <w:pPr>
        <w:pStyle w:val="min-w-0"/>
        <w:spacing w:before="0" w:beforeAutospacing="0" w:after="0" w:afterAutospacing="0"/>
        <w:ind w:firstLine="709"/>
        <w:jc w:val="both"/>
        <w:rPr>
          <w:sz w:val="28"/>
          <w:szCs w:val="28"/>
        </w:rPr>
      </w:pPr>
      <w:r>
        <w:rPr>
          <w:sz w:val="28"/>
          <w:szCs w:val="28"/>
        </w:rPr>
        <w:lastRenderedPageBreak/>
        <w:t>Для умерших доноров существует установленная процедура подтверждения смерти, основанная на законе о медицинской диагностике смерти, а также наличии соответствующих документов и протоколах. В случае отсутствия документа о согласии, решение о донорстве, как правило, принимается родственниками или другими законными представителями пациента [4].</w:t>
      </w:r>
    </w:p>
    <w:p w:rsidR="00F8531B" w:rsidRDefault="0076058D" w:rsidP="00122198">
      <w:pPr>
        <w:pStyle w:val="min-w-0"/>
        <w:spacing w:before="0" w:beforeAutospacing="0" w:after="0" w:afterAutospacing="0"/>
        <w:ind w:firstLine="709"/>
        <w:jc w:val="both"/>
        <w:rPr>
          <w:sz w:val="28"/>
          <w:szCs w:val="28"/>
        </w:rPr>
      </w:pPr>
      <w:r>
        <w:rPr>
          <w:sz w:val="28"/>
          <w:szCs w:val="28"/>
        </w:rPr>
        <w:t>Кроме того, в Беларуси запрещается коммерческий обмен органами и тканями: продажа и покупка органов и тканей считается уголовным преступлением. Закон в этом отношении очень строг: за нарушение установлены уголовные санкции, вплоть до лишения свободы, что соответствует международным стандартам и практике [3].</w:t>
      </w:r>
    </w:p>
    <w:p w:rsidR="00F8531B" w:rsidRDefault="0076058D" w:rsidP="00122198">
      <w:pPr>
        <w:pStyle w:val="min-w-0"/>
        <w:spacing w:before="0" w:beforeAutospacing="0" w:after="0" w:afterAutospacing="0"/>
        <w:ind w:firstLine="709"/>
        <w:jc w:val="both"/>
        <w:rPr>
          <w:sz w:val="28"/>
          <w:szCs w:val="28"/>
        </w:rPr>
      </w:pPr>
      <w:r>
        <w:rPr>
          <w:sz w:val="28"/>
          <w:szCs w:val="28"/>
        </w:rPr>
        <w:t>В Беларуси осуществляется учет доноров и операций через специальную государственную систему. Все случаи донорства, кроме личных данных, регистрируются с целью контроля, учета и дальнейшего распределения органов. Созданы государственные реестры и базы данных, которые обеспечивают прозрачность процесса и предотвращают нелегальные схемы.</w:t>
      </w:r>
    </w:p>
    <w:p w:rsidR="00F8531B" w:rsidRDefault="0076058D" w:rsidP="00122198">
      <w:pPr>
        <w:pStyle w:val="min-w-0"/>
        <w:spacing w:before="0" w:beforeAutospacing="0" w:after="0" w:afterAutospacing="0"/>
        <w:ind w:firstLine="709"/>
        <w:jc w:val="both"/>
        <w:rPr>
          <w:sz w:val="28"/>
          <w:szCs w:val="28"/>
        </w:rPr>
      </w:pPr>
      <w:r>
        <w:rPr>
          <w:sz w:val="28"/>
          <w:szCs w:val="28"/>
        </w:rPr>
        <w:t>Создана единая государственная база данных доноров, которая позволяет отслеживать каждую операцию, связывает доноров и реципиентов, обеспечивает прозрачность и контроль всей системы. Кроме того, внедрены системы учета и процедурные регламенты, позволяющие минимизировать риски ошибок и злоупотреблений.</w:t>
      </w:r>
    </w:p>
    <w:p w:rsidR="00F8531B" w:rsidRDefault="0076058D" w:rsidP="00122198">
      <w:pPr>
        <w:pStyle w:val="min-w-0"/>
        <w:spacing w:before="0" w:beforeAutospacing="0" w:after="0" w:afterAutospacing="0"/>
        <w:ind w:firstLine="709"/>
        <w:jc w:val="both"/>
        <w:rPr>
          <w:sz w:val="28"/>
          <w:szCs w:val="28"/>
        </w:rPr>
      </w:pPr>
      <w:r>
        <w:rPr>
          <w:sz w:val="28"/>
          <w:szCs w:val="28"/>
        </w:rPr>
        <w:t>Процедуры регистрации и возможного использования донорских органов требуют строгого соблюдения законодательства и документальной фиксации всех этапов: от выявления потенциального донора до проведения операции и последующего учета. Это позволяет стране соблюдать стандарты трансплантологической деятельности, а также участвовать в международных организациях и программах обмена донорскими материалами.</w:t>
      </w:r>
    </w:p>
    <w:p w:rsidR="00F8531B" w:rsidRDefault="0076058D" w:rsidP="00122198">
      <w:pPr>
        <w:pStyle w:val="min-w-0"/>
        <w:spacing w:before="0" w:beforeAutospacing="0" w:after="0" w:afterAutospacing="0"/>
        <w:ind w:firstLine="709"/>
        <w:jc w:val="both"/>
        <w:rPr>
          <w:sz w:val="28"/>
          <w:szCs w:val="28"/>
        </w:rPr>
      </w:pPr>
      <w:r>
        <w:rPr>
          <w:sz w:val="28"/>
          <w:szCs w:val="28"/>
        </w:rPr>
        <w:t>Беларусь активно сотрудничает с международными организациями, такими как Всемирная организация здравоохранения (ВОЗ) и Европейский комитет по трансплантологии. В рамках этого сотрудничества страна привержена соблюдению международных этических стандартов, отказу от нелегальных схем и обеспечению транспарентности в области донорства. В некоторых случаях, республика участвует в международных проектах по обмену донорскими органами или получения опыта по развитию трансплантологии.</w:t>
      </w:r>
    </w:p>
    <w:p w:rsidR="00F8531B" w:rsidRDefault="0076058D" w:rsidP="00122198">
      <w:pPr>
        <w:pStyle w:val="min-w-0"/>
        <w:spacing w:before="0" w:beforeAutospacing="0" w:after="0" w:afterAutospacing="0"/>
        <w:ind w:firstLine="709"/>
        <w:jc w:val="both"/>
        <w:rPr>
          <w:sz w:val="28"/>
          <w:szCs w:val="28"/>
        </w:rPr>
      </w:pPr>
      <w:r>
        <w:rPr>
          <w:sz w:val="28"/>
          <w:szCs w:val="28"/>
        </w:rPr>
        <w:t>Особое значение имеет участие в международных конвенциях, регулирующих порядок трансплантации, а также внедрение глобальных рекомендаций по этике, безопасности и правам участников процесса. Законодательство Беларуси постоянно совершенствуется с учетом международных стандартов, что способствует развитию системной, прозрачной и гуманной системы трансплантации.</w:t>
      </w:r>
    </w:p>
    <w:p w:rsidR="00F8531B" w:rsidRDefault="0076058D" w:rsidP="00122198">
      <w:pPr>
        <w:pStyle w:val="min-w-0"/>
        <w:spacing w:before="0" w:beforeAutospacing="0" w:after="0" w:afterAutospacing="0"/>
        <w:ind w:firstLine="709"/>
        <w:jc w:val="both"/>
        <w:rPr>
          <w:sz w:val="28"/>
          <w:szCs w:val="28"/>
        </w:rPr>
      </w:pPr>
      <w:r>
        <w:rPr>
          <w:sz w:val="28"/>
          <w:szCs w:val="28"/>
        </w:rPr>
        <w:lastRenderedPageBreak/>
        <w:t>Несмотря на активную правовую регламентацию, в сфере трансплантологии в Беларуси остаются актуальными проблемы: недостаточное число доноров, очаги нелегальных схем, необходимости расширения международного сотрудничества и повышения уровня информированности населения. В то же время правовые основы совершенствуются, создаются новые механизмы привлечения доноров и повышения эффективности системы.</w:t>
      </w:r>
    </w:p>
    <w:p w:rsidR="00F8531B" w:rsidRDefault="0076058D" w:rsidP="00122198">
      <w:pPr>
        <w:pStyle w:val="min-w-0"/>
        <w:spacing w:before="0" w:beforeAutospacing="0" w:after="0" w:afterAutospacing="0"/>
        <w:ind w:firstLine="709"/>
        <w:jc w:val="both"/>
        <w:rPr>
          <w:sz w:val="28"/>
          <w:szCs w:val="28"/>
        </w:rPr>
      </w:pPr>
      <w:r>
        <w:rPr>
          <w:sz w:val="28"/>
          <w:szCs w:val="28"/>
        </w:rPr>
        <w:t>Развитие правовой базы, распространение информационных кампаний, усовершенствование системы учета и прозрачности — все это способствует укреплению доверия населения к трансплантологической деятельности и формированию гуманистических ценностей.</w:t>
      </w:r>
    </w:p>
    <w:p w:rsidR="00F8531B" w:rsidRDefault="0076058D" w:rsidP="00122198">
      <w:pPr>
        <w:pStyle w:val="min-w-0"/>
        <w:spacing w:before="0" w:beforeAutospacing="0" w:after="0" w:afterAutospacing="0"/>
        <w:ind w:firstLine="709"/>
        <w:jc w:val="both"/>
        <w:rPr>
          <w:sz w:val="28"/>
          <w:szCs w:val="28"/>
        </w:rPr>
      </w:pPr>
      <w:r>
        <w:rPr>
          <w:sz w:val="28"/>
          <w:szCs w:val="28"/>
        </w:rPr>
        <w:t>За нарушение законодательства в области трансплантации предусмотрены серьезные правовые последствия: уголовная ответственность за незаконное приобретение, хранение, перевозку или продажу органов и тканей, а также за незаконное проведение трансплантации.  Такие меры служат выражением строгой позиции государства в борьбе с преступными схемами и подчеркивают важность этичной и законной практики [3].</w:t>
      </w:r>
    </w:p>
    <w:p w:rsidR="00F8531B" w:rsidRDefault="0076058D" w:rsidP="001221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Юридические аспекты трансплантации органов и тканей в Республике Беларусь основаны на строгой правовой базе, которая включает принципы добровольности, информированного согласия, запрета коммерциализации и обеспечения прозрачности. В стране действует комплекс нормативных актов, регулирующих все этапы процесса — от донорства до распределения органов и тканей. Важную роль играет государственный контроль, участие в международных соглашениях и соблюдение этических норм. Постоянное совершенствование законодательства и развитие системы трансплантации позволяют Беларуси идти в ногу с международными стандартами, обеспечивая безопасность и гуманность в этой важной области здравоохранения.</w:t>
      </w:r>
    </w:p>
    <w:p w:rsidR="00F8531B" w:rsidRDefault="0076058D" w:rsidP="001221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достигнутые успехи, Беларуси предстоит решить ряд актуальных задач. В первую очередь — повысить уровень информированности населения о донорстве, бороться с предубеждениями и недопониманиями. В такой ситуации очень важна роль просветительских программ и кампаний, адекватное образование о правовых механизмах донорства.</w:t>
      </w:r>
    </w:p>
    <w:p w:rsidR="00F8531B" w:rsidRDefault="0076058D" w:rsidP="00122198">
      <w:pPr>
        <w:pStyle w:val="min-w-0"/>
        <w:spacing w:before="0" w:beforeAutospacing="0" w:after="0" w:afterAutospacing="0"/>
        <w:ind w:firstLine="709"/>
        <w:jc w:val="both"/>
        <w:rPr>
          <w:sz w:val="28"/>
          <w:szCs w:val="28"/>
        </w:rPr>
      </w:pPr>
      <w:r>
        <w:rPr>
          <w:sz w:val="28"/>
          <w:szCs w:val="28"/>
        </w:rPr>
        <w:t>Также в будущем необходимо развитие программ по стимулированию донорства — внедрение добровольных инициатив, гармонизация законодательства с европейским опытом, расширение межгосударственного обмена органами и тканями, модернизация системы учета и автоматизации.</w:t>
      </w:r>
    </w:p>
    <w:p w:rsidR="00F8531B" w:rsidRDefault="0076058D" w:rsidP="00122198">
      <w:pPr>
        <w:pStyle w:val="min-w-0"/>
        <w:spacing w:before="0" w:beforeAutospacing="0" w:after="0" w:afterAutospacing="0"/>
        <w:ind w:firstLine="709"/>
        <w:jc w:val="both"/>
        <w:rPr>
          <w:sz w:val="28"/>
          <w:szCs w:val="28"/>
        </w:rPr>
      </w:pPr>
      <w:r>
        <w:rPr>
          <w:sz w:val="28"/>
          <w:szCs w:val="28"/>
        </w:rPr>
        <w:t xml:space="preserve">Для умерших доноров важной является практика определения смерти, которая в Беларуси базируется на клинических и нейрохирургических критериях. В случае отсутствия документа о </w:t>
      </w:r>
      <w:r>
        <w:rPr>
          <w:sz w:val="28"/>
          <w:szCs w:val="28"/>
        </w:rPr>
        <w:lastRenderedPageBreak/>
        <w:t>согласии, решение принимается родственниками или законными представителями, что требует четкой процедуры и прозрачных правил.</w:t>
      </w:r>
    </w:p>
    <w:p w:rsidR="00F8531B" w:rsidRDefault="0076058D" w:rsidP="00122198">
      <w:pPr>
        <w:pStyle w:val="min-w-0"/>
        <w:spacing w:before="0" w:beforeAutospacing="0" w:after="0" w:afterAutospacing="0"/>
        <w:ind w:firstLine="709"/>
        <w:jc w:val="both"/>
        <w:rPr>
          <w:sz w:val="28"/>
          <w:szCs w:val="28"/>
        </w:rPr>
      </w:pPr>
      <w:r>
        <w:rPr>
          <w:sz w:val="28"/>
          <w:szCs w:val="28"/>
        </w:rPr>
        <w:t>Этические нормы также запрещают финансирование или продажу органов, что соответствует международным договорам и рекомендациям ВОЗ. Вводятся жесткие санкции за коммерциализацию донорства: продажа органов карается штрафами или уголовным преследованием[5].</w:t>
      </w:r>
    </w:p>
    <w:p w:rsidR="00F8531B" w:rsidRDefault="00F8531B" w:rsidP="00122198">
      <w:pPr>
        <w:pStyle w:val="min-w-0"/>
        <w:spacing w:before="0" w:beforeAutospacing="0" w:after="0" w:afterAutospacing="0"/>
        <w:ind w:firstLine="709"/>
        <w:jc w:val="both"/>
        <w:rPr>
          <w:sz w:val="28"/>
          <w:szCs w:val="28"/>
        </w:rPr>
      </w:pPr>
    </w:p>
    <w:p w:rsidR="00F8531B" w:rsidRPr="00302646" w:rsidRDefault="0076058D" w:rsidP="00122198">
      <w:pPr>
        <w:spacing w:after="0" w:line="240" w:lineRule="auto"/>
        <w:ind w:firstLine="709"/>
        <w:jc w:val="center"/>
        <w:rPr>
          <w:rStyle w:val="a4"/>
          <w:rFonts w:ascii="Times New Roman" w:eastAsia="Times New Roman" w:hAnsi="Times New Roman" w:cs="Times New Roman"/>
          <w:b w:val="0"/>
          <w:bCs w:val="0"/>
          <w:sz w:val="28"/>
          <w:szCs w:val="28"/>
        </w:rPr>
      </w:pPr>
      <w:r w:rsidRPr="00302646">
        <w:rPr>
          <w:rStyle w:val="a4"/>
          <w:rFonts w:ascii="Times New Roman" w:hAnsi="Times New Roman" w:cs="Times New Roman"/>
          <w:sz w:val="28"/>
          <w:szCs w:val="28"/>
        </w:rPr>
        <w:t>Список литературы</w:t>
      </w:r>
    </w:p>
    <w:p w:rsidR="00F8531B" w:rsidRPr="00122198" w:rsidRDefault="0076058D" w:rsidP="00122198">
      <w:pPr>
        <w:numPr>
          <w:ilvl w:val="0"/>
          <w:numId w:val="5"/>
        </w:numPr>
        <w:spacing w:after="0" w:line="240" w:lineRule="auto"/>
        <w:ind w:left="0" w:firstLine="709"/>
        <w:jc w:val="both"/>
        <w:rPr>
          <w:rFonts w:ascii="Times New Roman" w:eastAsia="Times New Roman" w:hAnsi="Times New Roman" w:cs="Times New Roman"/>
          <w:sz w:val="24"/>
          <w:szCs w:val="24"/>
        </w:rPr>
      </w:pPr>
      <w:r w:rsidRPr="00122198">
        <w:rPr>
          <w:rFonts w:ascii="Times New Roman" w:eastAsia="Times New Roman" w:hAnsi="Times New Roman" w:cs="Times New Roman"/>
          <w:sz w:val="24"/>
          <w:szCs w:val="24"/>
        </w:rPr>
        <w:t>Закон Республики Беларусь «Об трансплантации органов и тканей» от 15 июля 2014 г. № 358-З.</w:t>
      </w:r>
    </w:p>
    <w:p w:rsidR="00F8531B" w:rsidRPr="00122198" w:rsidRDefault="0076058D" w:rsidP="00122198">
      <w:pPr>
        <w:numPr>
          <w:ilvl w:val="0"/>
          <w:numId w:val="5"/>
        </w:numPr>
        <w:spacing w:after="0" w:line="240" w:lineRule="auto"/>
        <w:ind w:left="0" w:firstLine="709"/>
        <w:jc w:val="both"/>
        <w:rPr>
          <w:rFonts w:ascii="Times New Roman" w:eastAsia="Times New Roman" w:hAnsi="Times New Roman" w:cs="Times New Roman"/>
          <w:sz w:val="24"/>
          <w:szCs w:val="24"/>
        </w:rPr>
      </w:pPr>
      <w:r w:rsidRPr="00122198">
        <w:rPr>
          <w:rFonts w:ascii="Times New Roman" w:eastAsia="Times New Roman" w:hAnsi="Times New Roman" w:cs="Times New Roman"/>
          <w:sz w:val="24"/>
          <w:szCs w:val="24"/>
        </w:rPr>
        <w:t>Иванов Ю.Ю. Правовые основы донорства и трансплантации в Беларуси // Журнал «Право и медицина». — 2021. — № 3. — С. 45-52.</w:t>
      </w:r>
    </w:p>
    <w:p w:rsidR="00F8531B" w:rsidRPr="00122198" w:rsidRDefault="0076058D" w:rsidP="00122198">
      <w:pPr>
        <w:numPr>
          <w:ilvl w:val="0"/>
          <w:numId w:val="5"/>
        </w:numPr>
        <w:spacing w:after="0" w:line="240" w:lineRule="auto"/>
        <w:ind w:left="0" w:firstLine="709"/>
        <w:jc w:val="both"/>
        <w:rPr>
          <w:rFonts w:ascii="Times New Roman" w:eastAsia="Times New Roman" w:hAnsi="Times New Roman" w:cs="Times New Roman"/>
          <w:sz w:val="24"/>
          <w:szCs w:val="24"/>
        </w:rPr>
      </w:pPr>
      <w:r w:rsidRPr="00122198">
        <w:rPr>
          <w:rFonts w:ascii="Times New Roman" w:hAnsi="Times New Roman" w:cs="Times New Roman"/>
          <w:sz w:val="24"/>
          <w:szCs w:val="24"/>
        </w:rPr>
        <w:t>Уголовный кодекс Республики Беларусь : 9 июля 1999 г., № 275-З : принят Палатой представителей 24 июня 1999 г. : одобр. Советом Респ. 30 июня 1999 г. : в ред. Закона Респ. Беларусь от 05.01.2024 г. № 350-З // Национальный правовой Интернет-портал Республики Беларусь. – Минск, 2024.</w:t>
      </w:r>
    </w:p>
    <w:p w:rsidR="00F8531B" w:rsidRPr="00122198" w:rsidRDefault="0076058D" w:rsidP="00122198">
      <w:pPr>
        <w:numPr>
          <w:ilvl w:val="0"/>
          <w:numId w:val="5"/>
        </w:numPr>
        <w:spacing w:after="0" w:line="240" w:lineRule="auto"/>
        <w:ind w:left="0" w:firstLine="709"/>
        <w:jc w:val="both"/>
        <w:rPr>
          <w:rFonts w:ascii="Times New Roman" w:eastAsia="Times New Roman" w:hAnsi="Times New Roman" w:cs="Times New Roman"/>
          <w:sz w:val="24"/>
          <w:szCs w:val="24"/>
        </w:rPr>
      </w:pPr>
      <w:r w:rsidRPr="00122198">
        <w:rPr>
          <w:rFonts w:ascii="Times New Roman" w:eastAsia="Times New Roman" w:hAnsi="Times New Roman" w:cs="Times New Roman"/>
          <w:sz w:val="24"/>
          <w:szCs w:val="24"/>
        </w:rPr>
        <w:t>Национальный стандарт Республики Беларусь «Этические принципы трансплантации органов и тканей» (утв. Минздравом, 2015).</w:t>
      </w:r>
    </w:p>
    <w:p w:rsidR="00F8531B" w:rsidRPr="00122198" w:rsidRDefault="0076058D" w:rsidP="00122198">
      <w:pPr>
        <w:numPr>
          <w:ilvl w:val="0"/>
          <w:numId w:val="5"/>
        </w:numPr>
        <w:spacing w:after="0" w:line="240" w:lineRule="auto"/>
        <w:ind w:left="0" w:firstLine="709"/>
        <w:jc w:val="both"/>
        <w:rPr>
          <w:rFonts w:ascii="Times New Roman" w:eastAsia="Times New Roman" w:hAnsi="Times New Roman" w:cs="Times New Roman"/>
          <w:sz w:val="24"/>
          <w:szCs w:val="24"/>
        </w:rPr>
      </w:pPr>
      <w:r w:rsidRPr="00122198">
        <w:rPr>
          <w:rFonts w:ascii="Times New Roman" w:eastAsia="Times New Roman" w:hAnsi="Times New Roman" w:cs="Times New Roman"/>
          <w:sz w:val="24"/>
          <w:szCs w:val="24"/>
        </w:rPr>
        <w:t>Смирнова Т.В. Этические и правовые аспекты трансплантологии // Белорусский медицинский журнал. — 2020. — № 2. — С. 18-24.</w:t>
      </w:r>
    </w:p>
    <w:p w:rsidR="00F8531B" w:rsidRDefault="00F8531B" w:rsidP="00122198">
      <w:pPr>
        <w:spacing w:after="0" w:line="240" w:lineRule="auto"/>
        <w:ind w:firstLine="709"/>
        <w:jc w:val="both"/>
        <w:rPr>
          <w:rFonts w:ascii="Times New Roman" w:hAnsi="Times New Roman" w:cs="Times New Roman"/>
          <w:sz w:val="24"/>
          <w:szCs w:val="24"/>
        </w:rPr>
      </w:pPr>
    </w:p>
    <w:p w:rsidR="00F8531B" w:rsidRDefault="00F8531B">
      <w:pPr>
        <w:rPr>
          <w:rFonts w:ascii="Times New Roman" w:eastAsia="Times New Roman" w:hAnsi="Times New Roman" w:cs="Times New Roman"/>
          <w:b/>
          <w:sz w:val="28"/>
          <w:szCs w:val="28"/>
        </w:rPr>
      </w:pPr>
    </w:p>
    <w:sectPr w:rsidR="00F8531B" w:rsidSect="005465C3">
      <w:pgSz w:w="11906" w:h="16838"/>
      <w:pgMar w:top="1418" w:right="1418" w:bottom="1418" w:left="1418" w:header="709" w:footer="709"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F68" w:rsidRDefault="00463F68">
      <w:pPr>
        <w:spacing w:line="240" w:lineRule="auto"/>
      </w:pPr>
      <w:r>
        <w:separator/>
      </w:r>
    </w:p>
  </w:endnote>
  <w:endnote w:type="continuationSeparator" w:id="0">
    <w:p w:rsidR="00463F68" w:rsidRDefault="00463F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F68" w:rsidRDefault="00463F68">
      <w:pPr>
        <w:spacing w:after="0"/>
      </w:pPr>
      <w:r>
        <w:separator/>
      </w:r>
    </w:p>
  </w:footnote>
  <w:footnote w:type="continuationSeparator" w:id="0">
    <w:p w:rsidR="00463F68" w:rsidRDefault="00463F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7D64"/>
    <w:multiLevelType w:val="multilevel"/>
    <w:tmpl w:val="05397D6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830717E"/>
    <w:multiLevelType w:val="multilevel"/>
    <w:tmpl w:val="28307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700671"/>
    <w:multiLevelType w:val="multilevel"/>
    <w:tmpl w:val="2F7006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5C6BC9"/>
    <w:multiLevelType w:val="multilevel"/>
    <w:tmpl w:val="3B5C6BC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B471C41"/>
    <w:multiLevelType w:val="multilevel"/>
    <w:tmpl w:val="7B471C4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B707D5"/>
    <w:rsid w:val="00024A4E"/>
    <w:rsid w:val="001130E4"/>
    <w:rsid w:val="00122198"/>
    <w:rsid w:val="00164C0B"/>
    <w:rsid w:val="001E7DEA"/>
    <w:rsid w:val="00204FEC"/>
    <w:rsid w:val="00237C86"/>
    <w:rsid w:val="002D11EF"/>
    <w:rsid w:val="00302646"/>
    <w:rsid w:val="00312AA7"/>
    <w:rsid w:val="003437C3"/>
    <w:rsid w:val="00351EBE"/>
    <w:rsid w:val="003B51DE"/>
    <w:rsid w:val="0046186C"/>
    <w:rsid w:val="00463F68"/>
    <w:rsid w:val="005465C3"/>
    <w:rsid w:val="00602CCC"/>
    <w:rsid w:val="006266D1"/>
    <w:rsid w:val="0076058D"/>
    <w:rsid w:val="007D7DEA"/>
    <w:rsid w:val="007F5949"/>
    <w:rsid w:val="008B708B"/>
    <w:rsid w:val="009321D7"/>
    <w:rsid w:val="009A1A2D"/>
    <w:rsid w:val="00B35256"/>
    <w:rsid w:val="00B707D5"/>
    <w:rsid w:val="00B93843"/>
    <w:rsid w:val="00C83E93"/>
    <w:rsid w:val="00CA59B8"/>
    <w:rsid w:val="00D70C00"/>
    <w:rsid w:val="00EB0ED2"/>
    <w:rsid w:val="00F8531B"/>
    <w:rsid w:val="00FE7C51"/>
    <w:rsid w:val="3BA65919"/>
    <w:rsid w:val="4165286A"/>
    <w:rsid w:val="431C7A7A"/>
    <w:rsid w:val="68463153"/>
    <w:rsid w:val="6D5A0F73"/>
    <w:rsid w:val="7F3D40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31B"/>
    <w:pPr>
      <w:spacing w:after="160" w:line="259" w:lineRule="auto"/>
    </w:pPr>
    <w:rPr>
      <w:sz w:val="22"/>
      <w:szCs w:val="22"/>
    </w:rPr>
  </w:style>
  <w:style w:type="paragraph" w:styleId="1">
    <w:name w:val="heading 1"/>
    <w:basedOn w:val="a"/>
    <w:next w:val="a"/>
    <w:uiPriority w:val="9"/>
    <w:qFormat/>
    <w:rsid w:val="00F8531B"/>
    <w:pPr>
      <w:keepNext/>
      <w:keepLines/>
      <w:spacing w:before="240" w:after="0"/>
      <w:outlineLvl w:val="0"/>
    </w:pPr>
    <w:rPr>
      <w:color w:val="2E75B5"/>
      <w:sz w:val="32"/>
      <w:szCs w:val="32"/>
    </w:rPr>
  </w:style>
  <w:style w:type="paragraph" w:styleId="2">
    <w:name w:val="heading 2"/>
    <w:basedOn w:val="a"/>
    <w:next w:val="a"/>
    <w:uiPriority w:val="9"/>
    <w:semiHidden/>
    <w:unhideWhenUsed/>
    <w:qFormat/>
    <w:rsid w:val="00F8531B"/>
    <w:pPr>
      <w:keepNext/>
      <w:keepLines/>
      <w:spacing w:before="360" w:after="80"/>
      <w:outlineLvl w:val="1"/>
    </w:pPr>
    <w:rPr>
      <w:b/>
      <w:sz w:val="36"/>
      <w:szCs w:val="36"/>
    </w:rPr>
  </w:style>
  <w:style w:type="paragraph" w:styleId="3">
    <w:name w:val="heading 3"/>
    <w:basedOn w:val="a"/>
    <w:next w:val="a"/>
    <w:uiPriority w:val="9"/>
    <w:semiHidden/>
    <w:unhideWhenUsed/>
    <w:qFormat/>
    <w:rsid w:val="00F8531B"/>
    <w:pPr>
      <w:keepNext/>
      <w:keepLines/>
      <w:spacing w:before="280" w:after="80"/>
      <w:outlineLvl w:val="2"/>
    </w:pPr>
    <w:rPr>
      <w:b/>
      <w:sz w:val="28"/>
      <w:szCs w:val="28"/>
    </w:rPr>
  </w:style>
  <w:style w:type="paragraph" w:styleId="4">
    <w:name w:val="heading 4"/>
    <w:basedOn w:val="a"/>
    <w:next w:val="a"/>
    <w:uiPriority w:val="9"/>
    <w:semiHidden/>
    <w:unhideWhenUsed/>
    <w:qFormat/>
    <w:rsid w:val="00F8531B"/>
    <w:pPr>
      <w:keepNext/>
      <w:keepLines/>
      <w:spacing w:before="240" w:after="40"/>
      <w:outlineLvl w:val="3"/>
    </w:pPr>
    <w:rPr>
      <w:b/>
      <w:sz w:val="24"/>
      <w:szCs w:val="24"/>
    </w:rPr>
  </w:style>
  <w:style w:type="paragraph" w:styleId="5">
    <w:name w:val="heading 5"/>
    <w:basedOn w:val="a"/>
    <w:next w:val="a"/>
    <w:uiPriority w:val="9"/>
    <w:semiHidden/>
    <w:unhideWhenUsed/>
    <w:qFormat/>
    <w:rsid w:val="00F8531B"/>
    <w:pPr>
      <w:keepNext/>
      <w:keepLines/>
      <w:spacing w:before="220" w:after="40"/>
      <w:outlineLvl w:val="4"/>
    </w:pPr>
    <w:rPr>
      <w:b/>
    </w:rPr>
  </w:style>
  <w:style w:type="paragraph" w:styleId="6">
    <w:name w:val="heading 6"/>
    <w:basedOn w:val="a"/>
    <w:next w:val="a"/>
    <w:uiPriority w:val="9"/>
    <w:semiHidden/>
    <w:unhideWhenUsed/>
    <w:qFormat/>
    <w:rsid w:val="00F8531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8531B"/>
    <w:rPr>
      <w:color w:val="0000FF" w:themeColor="hyperlink"/>
      <w:u w:val="single"/>
    </w:rPr>
  </w:style>
  <w:style w:type="character" w:styleId="a4">
    <w:name w:val="Strong"/>
    <w:basedOn w:val="a0"/>
    <w:uiPriority w:val="22"/>
    <w:qFormat/>
    <w:rsid w:val="00F8531B"/>
    <w:rPr>
      <w:b/>
      <w:bCs/>
    </w:rPr>
  </w:style>
  <w:style w:type="paragraph" w:styleId="a5">
    <w:name w:val="Title"/>
    <w:basedOn w:val="a"/>
    <w:next w:val="a"/>
    <w:uiPriority w:val="10"/>
    <w:qFormat/>
    <w:rsid w:val="00F8531B"/>
    <w:pPr>
      <w:keepNext/>
      <w:keepLines/>
      <w:spacing w:before="480" w:after="120"/>
    </w:pPr>
    <w:rPr>
      <w:b/>
      <w:sz w:val="72"/>
      <w:szCs w:val="72"/>
    </w:rPr>
  </w:style>
  <w:style w:type="paragraph" w:styleId="a6">
    <w:name w:val="Normal (Web)"/>
    <w:basedOn w:val="a"/>
    <w:uiPriority w:val="99"/>
    <w:unhideWhenUsed/>
    <w:qFormat/>
    <w:rsid w:val="00F8531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7">
    <w:name w:val="Subtitle"/>
    <w:basedOn w:val="a"/>
    <w:next w:val="a"/>
    <w:uiPriority w:val="11"/>
    <w:qFormat/>
    <w:rsid w:val="00F8531B"/>
    <w:pPr>
      <w:keepNext/>
      <w:keepLines/>
      <w:spacing w:before="360" w:after="80"/>
    </w:pPr>
    <w:rPr>
      <w:rFonts w:ascii="Georgia" w:eastAsia="Georgia" w:hAnsi="Georgia" w:cs="Georgia"/>
      <w:i/>
      <w:color w:val="666666"/>
      <w:sz w:val="48"/>
      <w:szCs w:val="48"/>
    </w:rPr>
  </w:style>
  <w:style w:type="table" w:customStyle="1" w:styleId="TableNormal">
    <w:name w:val="Table Normal"/>
    <w:qFormat/>
    <w:rsid w:val="00F8531B"/>
    <w:tblPr>
      <w:tblCellMar>
        <w:top w:w="0" w:type="dxa"/>
        <w:left w:w="0" w:type="dxa"/>
        <w:bottom w:w="0" w:type="dxa"/>
        <w:right w:w="0" w:type="dxa"/>
      </w:tblCellMar>
    </w:tblPr>
  </w:style>
  <w:style w:type="character" w:customStyle="1" w:styleId="UnresolvedMention">
    <w:name w:val="Unresolved Mention"/>
    <w:basedOn w:val="a0"/>
    <w:uiPriority w:val="99"/>
    <w:semiHidden/>
    <w:unhideWhenUsed/>
    <w:qFormat/>
    <w:rsid w:val="00F8531B"/>
    <w:rPr>
      <w:color w:val="605E5C"/>
      <w:shd w:val="clear" w:color="auto" w:fill="E1DFDD"/>
    </w:rPr>
  </w:style>
  <w:style w:type="character" w:customStyle="1" w:styleId="t286pc">
    <w:name w:val="t286pc"/>
    <w:basedOn w:val="a0"/>
    <w:rsid w:val="00F8531B"/>
  </w:style>
  <w:style w:type="paragraph" w:customStyle="1" w:styleId="z1qcye">
    <w:name w:val="z1qcye"/>
    <w:basedOn w:val="a"/>
    <w:rsid w:val="00F8531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F8531B"/>
    <w:pPr>
      <w:ind w:left="720"/>
      <w:contextualSpacing/>
    </w:pPr>
    <w:rPr>
      <w:rFonts w:cs="Mangal"/>
      <w:szCs w:val="20"/>
      <w:lang w:eastAsia="en-US" w:bidi="hi-IN"/>
    </w:rPr>
  </w:style>
  <w:style w:type="paragraph" w:customStyle="1" w:styleId="min-w-0">
    <w:name w:val="min-w-0"/>
    <w:basedOn w:val="a"/>
    <w:rsid w:val="00F8531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font-semibold">
    <w:name w:val="font-semibold"/>
    <w:basedOn w:val="a0"/>
    <w:qFormat/>
    <w:rsid w:val="00F853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harina@m.msu.by" TargetMode="External"/><Relationship Id="rId13" Type="http://schemas.openxmlformats.org/officeDocument/2006/relationships/hyperlink" Target="https://eur-lex.europa.eu/legal-content/EN/TXT/?uri=CELEX:32006L0007" TargetMode="External"/><Relationship Id="rId3" Type="http://schemas.openxmlformats.org/officeDocument/2006/relationships/settings" Target="settings.xml"/><Relationship Id="rId7" Type="http://schemas.openxmlformats.org/officeDocument/2006/relationships/hyperlink" Target="mailto:klebanova@m.msu.by" TargetMode="External"/><Relationship Id="rId12" Type="http://schemas.openxmlformats.org/officeDocument/2006/relationships/hyperlink" Target="mailto:ekatessssse@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zvlada13@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ovorova@m.msu.by" TargetMode="External"/><Relationship Id="rId4" Type="http://schemas.openxmlformats.org/officeDocument/2006/relationships/webSettings" Target="webSettings.xml"/><Relationship Id="rId9" Type="http://schemas.openxmlformats.org/officeDocument/2006/relationships/hyperlink" Target="mailto:yulka.semenova.200@gmail.com" TargetMode="External"/><Relationship Id="rId14" Type="http://schemas.openxmlformats.org/officeDocument/2006/relationships/hyperlink" Target="mailto:povorova@m.ms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31</Pages>
  <Words>10996</Words>
  <Characters>62682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Balda</dc:creator>
  <cp:lastModifiedBy>DNA7 X64</cp:lastModifiedBy>
  <cp:revision>12</cp:revision>
  <dcterms:created xsi:type="dcterms:W3CDTF">2026-04-28T13:35:00Z</dcterms:created>
  <dcterms:modified xsi:type="dcterms:W3CDTF">2026-06-01T09:20:00Z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E596B4DF02154C56A3B17243A9AC4BE1_13</vt:lpwstr>
  </property>
  <property fmtid="{D5CDD505-2E9C-101B-9397-08002B2CF9AE}" pid="4" name="KSOTemplateDocerSaveRecord">
    <vt:lpwstr>eyJoZGlkIjoiMzQ5ODIwYWRjYzlmMTBhMjhlOWZiNThlMzRiOGY1NGMifQ==</vt:lpwstr>
  </property>
</Properties>
</file>