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D59" w:rsidRDefault="00AC4DBB">
      <w:pPr>
        <w:spacing w:after="19" w:line="276" w:lineRule="auto"/>
        <w:ind w:left="10" w:right="255" w:hanging="10"/>
        <w:jc w:val="center"/>
        <w:rPr>
          <w:rFonts w:ascii="Times New Roman" w:hAnsi="Times New Roman" w:cs="Times New Roman"/>
          <w:b/>
          <w:sz w:val="32"/>
          <w:szCs w:val="32"/>
        </w:rPr>
      </w:pPr>
      <w:r>
        <w:rPr>
          <w:rFonts w:ascii="Times New Roman" w:hAnsi="Times New Roman" w:cs="Times New Roman"/>
          <w:b/>
          <w:sz w:val="32"/>
          <w:szCs w:val="32"/>
        </w:rPr>
        <w:t xml:space="preserve">ХV МЕЖДУНАРОДНАЯ НАУЧНО-ПРАКТИЧЕСКАЯ </w:t>
      </w:r>
    </w:p>
    <w:p w:rsidR="00536D59" w:rsidRDefault="00AC4DBB">
      <w:pPr>
        <w:spacing w:after="19" w:line="276" w:lineRule="auto"/>
        <w:ind w:left="10" w:right="255" w:hanging="10"/>
        <w:jc w:val="center"/>
        <w:rPr>
          <w:rFonts w:ascii="Times New Roman" w:hAnsi="Times New Roman" w:cs="Times New Roman"/>
          <w:b/>
          <w:sz w:val="32"/>
          <w:szCs w:val="32"/>
        </w:rPr>
      </w:pPr>
      <w:r>
        <w:rPr>
          <w:rFonts w:ascii="Times New Roman" w:hAnsi="Times New Roman" w:cs="Times New Roman"/>
          <w:b/>
          <w:sz w:val="32"/>
          <w:szCs w:val="32"/>
        </w:rPr>
        <w:t xml:space="preserve">ИНТЕРНЕТ-КОНФЕРЕНЦИЯ </w:t>
      </w:r>
    </w:p>
    <w:p w:rsidR="00536D59" w:rsidRDefault="00AC4DBB">
      <w:pPr>
        <w:spacing w:after="19" w:line="276" w:lineRule="auto"/>
        <w:ind w:left="10" w:right="255" w:hanging="10"/>
        <w:jc w:val="center"/>
        <w:rPr>
          <w:rFonts w:ascii="Times New Roman" w:hAnsi="Times New Roman" w:cs="Times New Roman"/>
          <w:sz w:val="32"/>
          <w:szCs w:val="32"/>
        </w:rPr>
      </w:pPr>
      <w:r>
        <w:rPr>
          <w:rFonts w:ascii="Times New Roman" w:hAnsi="Times New Roman" w:cs="Times New Roman"/>
          <w:sz w:val="32"/>
          <w:szCs w:val="32"/>
        </w:rPr>
        <w:t xml:space="preserve"> </w:t>
      </w:r>
    </w:p>
    <w:p w:rsidR="00536D59" w:rsidRDefault="00AC4DBB">
      <w:pPr>
        <w:spacing w:after="19" w:line="276" w:lineRule="auto"/>
        <w:ind w:left="10" w:right="125" w:hanging="10"/>
        <w:jc w:val="center"/>
        <w:rPr>
          <w:rFonts w:ascii="Times New Roman" w:hAnsi="Times New Roman" w:cs="Times New Roman"/>
          <w:b/>
          <w:sz w:val="32"/>
          <w:szCs w:val="32"/>
        </w:rPr>
      </w:pPr>
      <w:r>
        <w:rPr>
          <w:rFonts w:ascii="Times New Roman" w:hAnsi="Times New Roman" w:cs="Times New Roman"/>
          <w:b/>
          <w:sz w:val="32"/>
          <w:szCs w:val="32"/>
        </w:rPr>
        <w:t xml:space="preserve">ПРОБЛЕМЫ УСТОЙЧИВОГО РАЗВИТИЯ РЕГИОНОВ РЕСПУБЛИКИ БЕЛАРУСЬ </w:t>
      </w:r>
    </w:p>
    <w:p w:rsidR="00536D59" w:rsidRDefault="00AC4DBB">
      <w:pPr>
        <w:spacing w:after="19" w:line="276" w:lineRule="auto"/>
        <w:ind w:left="10" w:right="125" w:hanging="10"/>
        <w:jc w:val="center"/>
        <w:rPr>
          <w:rFonts w:ascii="Times New Roman" w:hAnsi="Times New Roman" w:cs="Times New Roman"/>
          <w:sz w:val="32"/>
          <w:szCs w:val="32"/>
        </w:rPr>
      </w:pPr>
      <w:r>
        <w:rPr>
          <w:rFonts w:ascii="Times New Roman" w:hAnsi="Times New Roman" w:cs="Times New Roman"/>
          <w:b/>
          <w:sz w:val="32"/>
          <w:szCs w:val="32"/>
        </w:rPr>
        <w:t xml:space="preserve">И СОПРЕДЕЛЬНЫХ СТРАН </w:t>
      </w:r>
    </w:p>
    <w:p w:rsidR="00536D59" w:rsidRDefault="00AC4DBB">
      <w:pPr>
        <w:ind w:right="146"/>
        <w:jc w:val="center"/>
        <w:rPr>
          <w:rFonts w:ascii="Times New Roman" w:hAnsi="Times New Roman" w:cs="Times New Roman"/>
          <w:b/>
          <w:sz w:val="32"/>
          <w:szCs w:val="32"/>
        </w:rPr>
      </w:pPr>
      <w:r>
        <w:rPr>
          <w:rFonts w:ascii="Times New Roman" w:hAnsi="Times New Roman" w:cs="Times New Roman"/>
          <w:b/>
        </w:rPr>
        <w:t xml:space="preserve"> </w:t>
      </w:r>
    </w:p>
    <w:p w:rsidR="00536D59" w:rsidRDefault="00AC4DBB">
      <w:pPr>
        <w:spacing w:before="3000" w:after="0" w:line="240" w:lineRule="auto"/>
        <w:ind w:firstLine="709"/>
        <w:jc w:val="center"/>
        <w:rPr>
          <w:rFonts w:ascii="Times New Roman" w:hAnsi="Times New Roman" w:cs="Times New Roman"/>
          <w:b/>
          <w:i/>
          <w:sz w:val="36"/>
          <w:szCs w:val="36"/>
        </w:rPr>
      </w:pPr>
      <w:r>
        <w:rPr>
          <w:rFonts w:ascii="Times New Roman" w:hAnsi="Times New Roman" w:cs="Times New Roman"/>
          <w:b/>
          <w:i/>
          <w:sz w:val="36"/>
          <w:szCs w:val="36"/>
        </w:rPr>
        <w:t>Секция 3</w:t>
      </w:r>
    </w:p>
    <w:p w:rsidR="00536D59" w:rsidRDefault="00AC4DBB">
      <w:pPr>
        <w:spacing w:after="5400"/>
        <w:ind w:firstLine="709"/>
        <w:jc w:val="center"/>
        <w:rPr>
          <w:rFonts w:ascii="Times New Roman" w:eastAsia="Arial" w:hAnsi="Times New Roman" w:cs="Times New Roman"/>
          <w:b/>
          <w:sz w:val="32"/>
          <w:szCs w:val="32"/>
        </w:rPr>
      </w:pPr>
      <w:r>
        <w:rPr>
          <w:rFonts w:ascii="Times New Roman" w:hAnsi="Times New Roman" w:cs="Times New Roman"/>
          <w:b/>
          <w:sz w:val="32"/>
          <w:szCs w:val="32"/>
        </w:rPr>
        <w:t>СТУДЕНЧЕСКАЯ МОЛОДЕЖЬ ДЛЯ ЦЕЛЕЙ УСТОЙЧИВОГО РАЗВИТИЯ</w:t>
      </w:r>
    </w:p>
    <w:p w:rsidR="00536D59" w:rsidRDefault="00AC4DBB">
      <w:pPr>
        <w:jc w:val="center"/>
        <w:rPr>
          <w:rFonts w:ascii="Times New Roman" w:hAnsi="Times New Roman" w:cs="Times New Roman"/>
          <w:b/>
          <w:sz w:val="32"/>
          <w:szCs w:val="32"/>
        </w:rPr>
      </w:pPr>
      <w:r>
        <w:rPr>
          <w:rFonts w:ascii="Times New Roman" w:hAnsi="Times New Roman" w:cs="Times New Roman"/>
          <w:b/>
          <w:sz w:val="32"/>
          <w:szCs w:val="32"/>
        </w:rPr>
        <w:t>1 июня - 30 июня 2026 года</w:t>
      </w:r>
    </w:p>
    <w:p w:rsidR="00536D59" w:rsidRPr="000F1336" w:rsidRDefault="00AC4DBB" w:rsidP="000F133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sz w:val="32"/>
          <w:szCs w:val="32"/>
        </w:rPr>
        <w:br w:type="page"/>
      </w:r>
      <w:r w:rsidRPr="000F1336">
        <w:rPr>
          <w:rFonts w:ascii="Times New Roman" w:hAnsi="Times New Roman" w:cs="Times New Roman"/>
          <w:b/>
          <w:bCs/>
          <w:sz w:val="28"/>
          <w:szCs w:val="28"/>
        </w:rPr>
        <w:lastRenderedPageBreak/>
        <w:t>СИНЕРГИЯ ВУЗОВ, ИНДУСТРИИ И ГОСУДАРСТВА ДЛЯ ФОРМИРОВАНИЯ БУДУЩЕГО КАЧЕСТВЕННОГО ОБРАЗОВАНИЯ</w:t>
      </w:r>
    </w:p>
    <w:p w:rsidR="000F1336" w:rsidRDefault="000F1336" w:rsidP="000F1336">
      <w:pPr>
        <w:spacing w:after="0" w:line="240" w:lineRule="auto"/>
        <w:ind w:firstLine="709"/>
        <w:jc w:val="center"/>
        <w:rPr>
          <w:rFonts w:ascii="Times New Roman" w:eastAsia="Times New Roman" w:hAnsi="Times New Roman" w:cs="Times New Roman"/>
          <w:b/>
          <w:bCs/>
          <w:sz w:val="28"/>
          <w:szCs w:val="28"/>
        </w:rPr>
      </w:pPr>
    </w:p>
    <w:p w:rsidR="00536D59" w:rsidRPr="000F1336" w:rsidRDefault="00AC4DBB" w:rsidP="000F1336">
      <w:pPr>
        <w:spacing w:after="0" w:line="240" w:lineRule="auto"/>
        <w:ind w:firstLine="709"/>
        <w:jc w:val="center"/>
        <w:rPr>
          <w:rFonts w:ascii="Times New Roman" w:eastAsia="Times New Roman" w:hAnsi="Times New Roman" w:cs="Times New Roman"/>
          <w:b/>
          <w:bCs/>
          <w:sz w:val="28"/>
          <w:szCs w:val="28"/>
        </w:rPr>
      </w:pPr>
      <w:r w:rsidRPr="000F1336">
        <w:rPr>
          <w:rFonts w:ascii="Times New Roman" w:eastAsia="Times New Roman" w:hAnsi="Times New Roman" w:cs="Times New Roman"/>
          <w:b/>
          <w:bCs/>
          <w:sz w:val="28"/>
          <w:szCs w:val="28"/>
        </w:rPr>
        <w:t>Гереева Екатерина Маратовна</w:t>
      </w:r>
    </w:p>
    <w:p w:rsidR="00536D59" w:rsidRPr="000F1336" w:rsidRDefault="00AC4DBB" w:rsidP="000F1336">
      <w:pPr>
        <w:spacing w:after="0" w:line="240" w:lineRule="auto"/>
        <w:ind w:firstLine="709"/>
        <w:jc w:val="center"/>
        <w:rPr>
          <w:rFonts w:ascii="Times New Roman" w:eastAsia="Times New Roman" w:hAnsi="Times New Roman" w:cs="Times New Roman"/>
          <w:sz w:val="28"/>
          <w:szCs w:val="28"/>
        </w:rPr>
      </w:pPr>
      <w:r w:rsidRPr="000F1336">
        <w:rPr>
          <w:rFonts w:ascii="Times New Roman" w:eastAsia="Times New Roman" w:hAnsi="Times New Roman" w:cs="Times New Roman"/>
          <w:sz w:val="28"/>
          <w:szCs w:val="28"/>
        </w:rPr>
        <w:t>аспирант института математики и информатики</w:t>
      </w:r>
    </w:p>
    <w:p w:rsidR="00536D59" w:rsidRPr="000F1336" w:rsidRDefault="00AC4DBB" w:rsidP="000F1336">
      <w:pPr>
        <w:spacing w:after="0" w:line="240" w:lineRule="auto"/>
        <w:ind w:firstLine="709"/>
        <w:jc w:val="center"/>
        <w:rPr>
          <w:rFonts w:ascii="Times New Roman" w:eastAsia="Times New Roman" w:hAnsi="Times New Roman" w:cs="Times New Roman"/>
          <w:sz w:val="28"/>
          <w:szCs w:val="28"/>
        </w:rPr>
      </w:pPr>
      <w:r w:rsidRPr="000F1336">
        <w:rPr>
          <w:rFonts w:ascii="Times New Roman" w:eastAsia="Times New Roman" w:hAnsi="Times New Roman" w:cs="Times New Roman"/>
          <w:sz w:val="28"/>
          <w:szCs w:val="28"/>
        </w:rPr>
        <w:t>федеральное государственное бюджетное образовательное учреждение высшего образования «Московский педагогический государственный университет»</w:t>
      </w:r>
    </w:p>
    <w:p w:rsidR="00536D59" w:rsidRPr="000F1336" w:rsidRDefault="00AC4DBB" w:rsidP="000F1336">
      <w:pPr>
        <w:spacing w:after="0" w:line="240" w:lineRule="auto"/>
        <w:ind w:firstLine="709"/>
        <w:jc w:val="center"/>
        <w:rPr>
          <w:rFonts w:ascii="Times New Roman" w:eastAsia="Times New Roman" w:hAnsi="Times New Roman" w:cs="Times New Roman"/>
          <w:i/>
          <w:iCs/>
          <w:sz w:val="28"/>
          <w:szCs w:val="28"/>
        </w:rPr>
      </w:pPr>
      <w:r w:rsidRPr="000F1336">
        <w:rPr>
          <w:rFonts w:ascii="Times New Roman" w:eastAsia="Times New Roman" w:hAnsi="Times New Roman" w:cs="Times New Roman"/>
          <w:sz w:val="28"/>
          <w:szCs w:val="28"/>
        </w:rPr>
        <w:t>(г. Москва, Россия)</w:t>
      </w:r>
    </w:p>
    <w:p w:rsidR="00536D59" w:rsidRPr="000F1336" w:rsidRDefault="00AC4DBB" w:rsidP="000F1336">
      <w:pPr>
        <w:spacing w:after="0" w:line="240" w:lineRule="auto"/>
        <w:ind w:firstLine="709"/>
        <w:jc w:val="center"/>
        <w:rPr>
          <w:rFonts w:ascii="Times New Roman" w:eastAsia="Times New Roman" w:hAnsi="Times New Roman" w:cs="Times New Roman"/>
          <w:sz w:val="28"/>
          <w:szCs w:val="28"/>
        </w:rPr>
      </w:pPr>
      <w:r w:rsidRPr="000F1336">
        <w:rPr>
          <w:rFonts w:ascii="Times New Roman" w:eastAsia="Times New Roman" w:hAnsi="Times New Roman" w:cs="Times New Roman"/>
          <w:sz w:val="28"/>
          <w:szCs w:val="28"/>
        </w:rPr>
        <w:t>gereevaekaterina89@gmail.com</w:t>
      </w:r>
    </w:p>
    <w:p w:rsidR="00536D59" w:rsidRDefault="00536D59" w:rsidP="000F1336">
      <w:pPr>
        <w:spacing w:after="0" w:line="240" w:lineRule="auto"/>
        <w:ind w:firstLine="709"/>
        <w:jc w:val="center"/>
        <w:rPr>
          <w:rFonts w:ascii="Times New Roman" w:eastAsia="Times New Roman" w:hAnsi="Times New Roman" w:cs="Times New Roman"/>
          <w:i/>
          <w:iCs/>
        </w:rPr>
      </w:pPr>
    </w:p>
    <w:p w:rsidR="00536D59" w:rsidRDefault="00AC4DBB" w:rsidP="000F1336">
      <w:pPr>
        <w:spacing w:after="0" w:line="240" w:lineRule="auto"/>
        <w:ind w:firstLine="709"/>
        <w:jc w:val="both"/>
        <w:rPr>
          <w:rFonts w:ascii="Times New Roman" w:eastAsia="Times New Roman" w:hAnsi="Times New Roman" w:cs="Times New Roman"/>
          <w:i/>
          <w:iCs/>
          <w:sz w:val="20"/>
          <w:szCs w:val="20"/>
          <w:highlight w:val="yellow"/>
        </w:rPr>
      </w:pPr>
      <w:r>
        <w:rPr>
          <w:rFonts w:ascii="Times New Roman" w:eastAsia="Times New Roman" w:hAnsi="Times New Roman" w:cs="Times New Roman"/>
          <w:b/>
          <w:bCs/>
          <w:sz w:val="20"/>
          <w:szCs w:val="20"/>
          <w:highlight w:val="white"/>
        </w:rPr>
        <w:t>Аннотация.</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4"/>
          <w:szCs w:val="24"/>
        </w:rPr>
        <w:t>В статье анализируются ключевые вызовы, стоящие перед системой высшего образования России в контексте реализации Цели устойчивого развития 4 (ЦУР 4) — обеспечение качественного образования. Особое внимание уделяется проблеме несоответствия темпов технологического прогресса и подходов к формированию образовательных программ. Рассматриваются сложности прогнозирования востребованных компетенций выпускников в условиях высокой неопределенности рынка труда, а также предлагаются механизмы гибкой адаптации учебных планов совместно с индустриальными партнерами.</w:t>
      </w:r>
    </w:p>
    <w:p w:rsidR="00536D59" w:rsidRDefault="00AC4DBB" w:rsidP="000F1336">
      <w:pPr>
        <w:spacing w:after="0" w:line="240" w:lineRule="auto"/>
        <w:ind w:firstLine="709"/>
        <w:jc w:val="both"/>
        <w:rPr>
          <w:rFonts w:ascii="Times New Roman" w:eastAsia="Times New Roman" w:hAnsi="Times New Roman" w:cs="Times New Roman"/>
          <w:i/>
          <w:iCs/>
          <w:sz w:val="20"/>
          <w:szCs w:val="20"/>
        </w:rPr>
      </w:pPr>
      <w:r>
        <w:rPr>
          <w:rFonts w:ascii="Times New Roman" w:eastAsia="Times New Roman" w:hAnsi="Times New Roman" w:cs="Times New Roman"/>
          <w:b/>
          <w:bCs/>
          <w:sz w:val="20"/>
          <w:szCs w:val="20"/>
        </w:rPr>
        <w:t xml:space="preserve">Ключевые слова. </w:t>
      </w:r>
      <w:r>
        <w:rPr>
          <w:rFonts w:ascii="Times New Roman" w:eastAsia="Times New Roman" w:hAnsi="Times New Roman" w:cs="Times New Roman"/>
          <w:sz w:val="24"/>
          <w:szCs w:val="24"/>
        </w:rPr>
        <w:t>Высшее образование, цели устойчивого развития, образовательная программа, компетенции выпускника, федеральный государственный образовательный стандарт, информационные технологии, ЦУР-4.</w:t>
      </w:r>
    </w:p>
    <w:p w:rsidR="00536D59" w:rsidRDefault="00536D59" w:rsidP="000F1336">
      <w:pPr>
        <w:spacing w:after="0" w:line="240" w:lineRule="auto"/>
        <w:ind w:firstLine="709"/>
        <w:jc w:val="center"/>
        <w:rPr>
          <w:rFonts w:ascii="Times New Roman" w:eastAsia="Times New Roman" w:hAnsi="Times New Roman" w:cs="Times New Roman"/>
          <w:i/>
          <w:iCs/>
        </w:rPr>
      </w:pPr>
    </w:p>
    <w:p w:rsidR="00536D59" w:rsidRDefault="00AC4DBB" w:rsidP="000F133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2015 году ООН были приняты цели устойчивого развития. «Цели устойчивого развития (ЦУР) представляют собой набор из 17 целей, разработанных всеми государствами-членами ООН, которые должны быть достигнуты к 2030 году» [1]. Одной из таких целей является ЦУР 4 - Качественное образование. </w:t>
      </w:r>
    </w:p>
    <w:p w:rsidR="00536D59" w:rsidRDefault="00AC4DBB" w:rsidP="000F133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настоящее время в России стремительно развиваются ИТ-технологии. «Вклад отечественной ИТ-индустрии в ВВП за 5 лет практически удвоился и составил 2,4%» [2]. Активное развитие технологий прямым образом влияет на развитие высшего образования при подготовке кадров. Скорость технологических изменений приводит к возникновению новых вызовов для вузов и работодателей, появляется разрыв между содержанием образовательных программ и реальными потребностями бизнеса, что требует пересмотра традиционных подходов к проектированию и реализации учебных планов.</w:t>
      </w:r>
    </w:p>
    <w:p w:rsidR="00536D59" w:rsidRDefault="00AC4DBB" w:rsidP="000F133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Вызовы, с которыми вузы и работодатели могут сталкиваться в настоящее время при выстраивании образовательного процесса:</w:t>
      </w:r>
    </w:p>
    <w:p w:rsidR="00536D59" w:rsidRDefault="00AC4DBB" w:rsidP="000F1336">
      <w:pPr>
        <w:numPr>
          <w:ilvl w:val="0"/>
          <w:numId w:val="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Становится практически невозможно с высокой точностью прогнозировать какие именно профессиональные компетенции будут востребованы на рынке труда через 2–6 лет;</w:t>
      </w:r>
    </w:p>
    <w:p w:rsidR="00536D59" w:rsidRDefault="00AC4DBB" w:rsidP="000F1336">
      <w:pPr>
        <w:numPr>
          <w:ilvl w:val="0"/>
          <w:numId w:val="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Работодатели вынуждены инвестировать в образование для подготовки кадров ресурсно, инфраструктурно, а также финансово;</w:t>
      </w:r>
    </w:p>
    <w:p w:rsidR="00536D59" w:rsidRDefault="00AC4DBB" w:rsidP="000F1336">
      <w:pPr>
        <w:numPr>
          <w:ilvl w:val="0"/>
          <w:numId w:val="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Вузам необходимо гибко и оперативно адаптировать учебные планы, исходя из потребности бизнеса, что может не соответствовать регламенту федерального государственного образовательного стандарта;</w:t>
      </w:r>
    </w:p>
    <w:p w:rsidR="00536D59" w:rsidRDefault="00AC4DBB" w:rsidP="000F1336">
      <w:pPr>
        <w:numPr>
          <w:ilvl w:val="0"/>
          <w:numId w:val="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Студенты, поступая в вуз на направление, связанное с информационными технологиями, не могут быть уверены, что выпускаясь из вуза будут востребованы на рынке труда.</w:t>
      </w:r>
    </w:p>
    <w:p w:rsidR="00536D59" w:rsidRDefault="00AC4DBB" w:rsidP="000F133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обозначенных проблем возможно только на основе выстраивания долгосрочных и гибких партнерских отношений между образовательными организациями, государством и индустриальными партнерами. Совместная работа позволит создать </w:t>
      </w:r>
      <w:r>
        <w:rPr>
          <w:rFonts w:ascii="Times New Roman" w:eastAsia="Times New Roman" w:hAnsi="Times New Roman" w:cs="Times New Roman"/>
          <w:i/>
          <w:iCs/>
          <w:sz w:val="28"/>
          <w:szCs w:val="28"/>
        </w:rPr>
        <w:t>живые</w:t>
      </w:r>
      <w:r>
        <w:rPr>
          <w:rFonts w:ascii="Times New Roman" w:eastAsia="Times New Roman" w:hAnsi="Times New Roman" w:cs="Times New Roman"/>
          <w:sz w:val="28"/>
          <w:szCs w:val="28"/>
        </w:rPr>
        <w:t xml:space="preserve"> образовательные программы, которые могут корректироваться по мере появления новых технологий. </w:t>
      </w:r>
    </w:p>
    <w:p w:rsidR="00536D59" w:rsidRDefault="00AC4DBB" w:rsidP="000F133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Государство России за последние несколько лет реализовало некоторое количество федеральных проектов, которые ориентированы на интеграцию индустриальных партнеров в высшее образование и подготовку кадров. Примеры и краткое описание таких проектов:</w:t>
      </w:r>
    </w:p>
    <w:p w:rsidR="00536D59" w:rsidRDefault="00AC4DBB" w:rsidP="000F1336">
      <w:pPr>
        <w:numPr>
          <w:ilvl w:val="0"/>
          <w:numId w:val="2"/>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Указом Президента Российской Федерации от 12.05.2023 № 343 </w:t>
      </w:r>
      <w:hyperlink r:id="rId7" w:history="1">
        <w:r>
          <w:rPr>
            <w:rStyle w:val="a4"/>
            <w:rFonts w:ascii="Times New Roman" w:eastAsia="Times New Roman" w:hAnsi="Times New Roman" w:cs="Times New Roman"/>
            <w:color w:val="auto"/>
            <w:sz w:val="28"/>
            <w:szCs w:val="28"/>
          </w:rPr>
          <w:t>«О некоторых вопросах совершенствования системы высшего образования»</w:t>
        </w:r>
      </w:hyperlink>
      <w:r>
        <w:rPr>
          <w:rFonts w:ascii="Times New Roman" w:eastAsia="Times New Roman" w:hAnsi="Times New Roman" w:cs="Times New Roman"/>
          <w:sz w:val="28"/>
          <w:szCs w:val="28"/>
        </w:rPr>
        <w:t xml:space="preserve"> [3] в целях содействия совершенствованию системы высшего образования и подготовки квалифицированных кадров с 2023/2024 учебного года запущен</w:t>
      </w:r>
      <w:r>
        <w:rPr>
          <w:rFonts w:ascii="Times New Roman" w:eastAsia="Times New Roman" w:hAnsi="Times New Roman" w:cs="Times New Roman"/>
          <w:b/>
          <w:bCs/>
          <w:sz w:val="28"/>
          <w:szCs w:val="28"/>
        </w:rPr>
        <w:t xml:space="preserve"> </w:t>
      </w:r>
      <w:r w:rsidRPr="000F1336">
        <w:rPr>
          <w:rFonts w:ascii="Times New Roman" w:eastAsia="Times New Roman" w:hAnsi="Times New Roman" w:cs="Times New Roman"/>
          <w:bCs/>
          <w:i/>
          <w:sz w:val="28"/>
          <w:szCs w:val="28"/>
        </w:rPr>
        <w:t>пилотный проект, направленный на изменение уровней профессионального образования</w:t>
      </w:r>
      <w:r>
        <w:rPr>
          <w:rFonts w:ascii="Times New Roman" w:eastAsia="Times New Roman" w:hAnsi="Times New Roman" w:cs="Times New Roman"/>
          <w:sz w:val="28"/>
          <w:szCs w:val="28"/>
        </w:rPr>
        <w:t>. С 2023/2024 учебного года в пилоте приняли участие 6 университетов, с 2026/2027 учебного года запланирован переход на новую модель высшего образования всех университетов. Проект направлен на создание гибкой образовательной модели на основе анализа потребностей индустрии, что делает ее более практикоориентированной.</w:t>
      </w:r>
    </w:p>
    <w:p w:rsidR="00536D59" w:rsidRDefault="00AC4DBB" w:rsidP="000F1336">
      <w:pPr>
        <w:numPr>
          <w:ilvl w:val="0"/>
          <w:numId w:val="2"/>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2022 году Министерство науки и высшего образования объявил о проведении отбора на предоставление грантов на поддержку программ развития </w:t>
      </w:r>
      <w:r w:rsidRPr="000F1336">
        <w:rPr>
          <w:rFonts w:ascii="Times New Roman" w:eastAsia="Times New Roman" w:hAnsi="Times New Roman" w:cs="Times New Roman"/>
          <w:bCs/>
          <w:i/>
          <w:sz w:val="28"/>
          <w:szCs w:val="28"/>
        </w:rPr>
        <w:t>Передовых инженерных школ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(далее-ПИШ) в вузах. «За время проекта создано 50 передовых инженерных школ в партнерстве с высокотехнологичными компаниями.» [4], что делает обучение в ПИШ, адаптированным под индустрию;</w:t>
      </w:r>
    </w:p>
    <w:p w:rsidR="00536D59" w:rsidRDefault="00AC4DBB" w:rsidP="000F1336">
      <w:pPr>
        <w:numPr>
          <w:ilvl w:val="0"/>
          <w:numId w:val="2"/>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2025 году Аналитический центр при правительстве РФ объявил </w:t>
      </w:r>
      <w:r w:rsidRPr="000F1336">
        <w:rPr>
          <w:rFonts w:ascii="Times New Roman" w:eastAsia="Times New Roman" w:hAnsi="Times New Roman" w:cs="Times New Roman"/>
          <w:bCs/>
          <w:i/>
          <w:sz w:val="28"/>
          <w:szCs w:val="28"/>
        </w:rPr>
        <w:t>конкурс Грантов для вузов на подготовку кадров уровня топ в сфере информационных технологий и искусственного интеллекта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[5]. Обязательным условием получения гранта для вуза являлось наличие индустриального партнера, который поддержал конкурсную заявку, а также на протяжении реализации образовательной программы должен оказывать не менее 30% софинансирования гранта, в том числе актуализация учебных программ, ресурсное и инфраструктурное включение, что в быстрые сроки позволило сконструировать </w:t>
      </w:r>
      <w:r>
        <w:rPr>
          <w:rFonts w:ascii="Times New Roman" w:eastAsia="Times New Roman" w:hAnsi="Times New Roman" w:cs="Times New Roman"/>
          <w:sz w:val="28"/>
          <w:szCs w:val="28"/>
        </w:rPr>
        <w:lastRenderedPageBreak/>
        <w:t>образовательные программы с новыми, актуальными бизнесу компетенциями;</w:t>
      </w:r>
    </w:p>
    <w:p w:rsidR="00536D59" w:rsidRDefault="00AC4DBB" w:rsidP="000F1336">
      <w:pPr>
        <w:numPr>
          <w:ilvl w:val="0"/>
          <w:numId w:val="2"/>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2025 году на уровне Постановления Правления РФ № 1949 были закреплены изменения в порядок получения и подтверждения </w:t>
      </w:r>
      <w:r w:rsidRPr="000F1336">
        <w:rPr>
          <w:rFonts w:ascii="Times New Roman" w:eastAsia="Times New Roman" w:hAnsi="Times New Roman" w:cs="Times New Roman"/>
          <w:bCs/>
          <w:i/>
          <w:sz w:val="28"/>
          <w:szCs w:val="28"/>
        </w:rPr>
        <w:t>ИТ-аккредитации</w:t>
      </w:r>
      <w:r>
        <w:rPr>
          <w:rFonts w:ascii="Times New Roman" w:eastAsia="Times New Roman" w:hAnsi="Times New Roman" w:cs="Times New Roman"/>
          <w:sz w:val="28"/>
          <w:szCs w:val="28"/>
        </w:rPr>
        <w:t xml:space="preserve"> ИТ-компаниями. Теперь ИТ-компаниям со штатной численностью от 100 человек и выручкой от 1 млрд руб в год необходимо реинвестировать в ИТ-образование 3% от суммы сэкономленного за счёт применения налоговых льгот. Такое изменение в явном виде вызвало интерес ИТ-компаний к высшему образованию и подготовке кадров. «Новый механизм позволит сделать обучение более современным и ускорить адаптацию образовательных программ к потребностям бизнеса за счёт включения в программы актуальных задач и прямого взаимодействия студентов с практикующими специалистами.» [6]</w:t>
      </w:r>
    </w:p>
    <w:p w:rsidR="00536D59" w:rsidRDefault="00AC4DBB" w:rsidP="000F133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Трансформация высшего образования в России невозможна без синергии взаимодействия вузов с индустриальными партнерами и государством. Для обеспечения соответствия образовательных программ требованиям устойчивого развития и рынка труда необходимо внедрять гибкие механизмы корректировки учебных планов, преодолевая ограничения действующих федеральных стандартов. Только совместными усилиями возможно подготовить выпускников, обладающих актуальными компетенциями и способных эффективно адаптироваться к вызовам будущего.</w:t>
      </w:r>
    </w:p>
    <w:p w:rsidR="00536D59" w:rsidRPr="00AB4FD4" w:rsidRDefault="00AC4DBB" w:rsidP="000F1336">
      <w:pPr>
        <w:spacing w:after="0" w:line="240" w:lineRule="auto"/>
        <w:ind w:firstLine="709"/>
        <w:jc w:val="center"/>
        <w:rPr>
          <w:rFonts w:ascii="Times New Roman" w:eastAsia="Times New Roman" w:hAnsi="Times New Roman" w:cs="Times New Roman"/>
          <w:sz w:val="28"/>
          <w:szCs w:val="28"/>
        </w:rPr>
      </w:pPr>
      <w:r w:rsidRPr="00AB4FD4">
        <w:rPr>
          <w:rFonts w:ascii="Times New Roman" w:eastAsia="Times New Roman" w:hAnsi="Times New Roman" w:cs="Times New Roman"/>
          <w:b/>
          <w:bCs/>
          <w:sz w:val="28"/>
          <w:szCs w:val="28"/>
        </w:rPr>
        <w:t>Список литературы</w:t>
      </w:r>
    </w:p>
    <w:p w:rsidR="00536D59" w:rsidRDefault="00AC4DBB" w:rsidP="000F1336">
      <w:pPr>
        <w:numPr>
          <w:ilvl w:val="0"/>
          <w:numId w:val="3"/>
        </w:numPr>
        <w:spacing w:after="0" w:line="240" w:lineRule="auto"/>
        <w:ind w:left="0" w:firstLine="709"/>
        <w:jc w:val="both"/>
        <w:rPr>
          <w:rFonts w:ascii="Times New Roman" w:eastAsia="Times New Roman" w:hAnsi="Times New Roman" w:cs="Times New Roman"/>
        </w:rPr>
      </w:pPr>
      <w:r>
        <w:rPr>
          <w:rFonts w:ascii="Times New Roman" w:eastAsia="Times New Roman" w:hAnsi="Times New Roman" w:cs="Times New Roman"/>
          <w:sz w:val="24"/>
          <w:szCs w:val="24"/>
        </w:rPr>
        <w:br/>
        <w:t>1. Цели в области устойчивого развития. — URL: https://www.ungeneva.org/ru/about/topics/sustainable-development-goals (дата обращения: 29.04.2026).</w:t>
      </w:r>
    </w:p>
    <w:p w:rsidR="00536D59" w:rsidRDefault="00AC4DBB" w:rsidP="000F1336">
      <w:pPr>
        <w:numPr>
          <w:ilvl w:val="0"/>
          <w:numId w:val="3"/>
        </w:numPr>
        <w:spacing w:after="0" w:line="240" w:lineRule="auto"/>
        <w:ind w:left="0" w:firstLine="709"/>
        <w:jc w:val="both"/>
        <w:rPr>
          <w:rFonts w:ascii="Times New Roman" w:eastAsia="Times New Roman" w:hAnsi="Times New Roman" w:cs="Times New Roman"/>
        </w:rPr>
      </w:pPr>
      <w:r>
        <w:rPr>
          <w:rFonts w:ascii="Times New Roman" w:eastAsia="Times New Roman" w:hAnsi="Times New Roman" w:cs="Times New Roman"/>
          <w:sz w:val="24"/>
          <w:szCs w:val="24"/>
        </w:rPr>
        <w:t>2. IT-отрасль занимает лидирующие позиции по темпам роста. — URL: https://ac.gov.ru/news/page/it-otrasl-zanimaet-lidiruusie-pozicii-po-temparam-rosta-28252 (дата обращения: 29.04.2026).</w:t>
      </w:r>
    </w:p>
    <w:p w:rsidR="00536D59" w:rsidRDefault="00AC4DBB" w:rsidP="000F1336">
      <w:pPr>
        <w:numPr>
          <w:ilvl w:val="0"/>
          <w:numId w:val="3"/>
        </w:numPr>
        <w:spacing w:after="0" w:line="240" w:lineRule="auto"/>
        <w:ind w:left="0" w:firstLine="709"/>
        <w:jc w:val="both"/>
        <w:rPr>
          <w:rFonts w:ascii="Times New Roman" w:eastAsia="Times New Roman" w:hAnsi="Times New Roman" w:cs="Times New Roman"/>
        </w:rPr>
      </w:pPr>
      <w:r>
        <w:rPr>
          <w:rFonts w:ascii="Times New Roman" w:eastAsia="Times New Roman" w:hAnsi="Times New Roman" w:cs="Times New Roman"/>
          <w:sz w:val="24"/>
          <w:szCs w:val="24"/>
        </w:rPr>
        <w:t>3. Указ Президента Российской Федерации от 12.05.2023 г. № 343. — URL: http://www.kremlin.ru/acts/bank/49210 (дата обращения: 29.04.2026).</w:t>
      </w:r>
    </w:p>
    <w:p w:rsidR="00536D59" w:rsidRDefault="00AC4DBB" w:rsidP="000F1336">
      <w:pPr>
        <w:numPr>
          <w:ilvl w:val="0"/>
          <w:numId w:val="3"/>
        </w:numPr>
        <w:spacing w:after="0" w:line="240" w:lineRule="auto"/>
        <w:ind w:left="0" w:firstLine="709"/>
        <w:jc w:val="both"/>
        <w:rPr>
          <w:rFonts w:ascii="Times New Roman" w:eastAsia="Times New Roman" w:hAnsi="Times New Roman" w:cs="Times New Roman"/>
        </w:rPr>
      </w:pPr>
      <w:r>
        <w:rPr>
          <w:rFonts w:ascii="Times New Roman" w:eastAsia="Times New Roman" w:hAnsi="Times New Roman" w:cs="Times New Roman"/>
          <w:sz w:val="24"/>
          <w:szCs w:val="24"/>
        </w:rPr>
        <w:t>4. Передовые инженерные школы. — URL: https://engineers2030.ru (дата обращения: 29.04.2026).</w:t>
      </w:r>
    </w:p>
    <w:p w:rsidR="00536D59" w:rsidRDefault="00AC4DBB" w:rsidP="000F1336">
      <w:pPr>
        <w:numPr>
          <w:ilvl w:val="0"/>
          <w:numId w:val="3"/>
        </w:numPr>
        <w:spacing w:after="0" w:line="240" w:lineRule="auto"/>
        <w:ind w:left="0" w:firstLine="709"/>
        <w:jc w:val="both"/>
        <w:rPr>
          <w:rFonts w:ascii="Times New Roman" w:eastAsia="Times New Roman" w:hAnsi="Times New Roman" w:cs="Times New Roman"/>
        </w:rPr>
      </w:pPr>
      <w:r>
        <w:rPr>
          <w:rFonts w:ascii="Times New Roman" w:eastAsia="Times New Roman" w:hAnsi="Times New Roman" w:cs="Times New Roman"/>
          <w:sz w:val="24"/>
          <w:szCs w:val="24"/>
        </w:rPr>
        <w:t>5. Вузы получат гранты на подготовку топ-специалистов в сфере ИИ. — URL: https://ac.gov.ru/news/page/vuzy-polucat-granty-na-podgotovku-top-specialistov-v-sfere-ii-28034 (дата обращения: 29.04.2026).</w:t>
      </w:r>
    </w:p>
    <w:p w:rsidR="00536D59" w:rsidRDefault="00AC4DBB" w:rsidP="000F1336">
      <w:pPr>
        <w:numPr>
          <w:ilvl w:val="0"/>
          <w:numId w:val="3"/>
        </w:numPr>
        <w:spacing w:after="0" w:line="240" w:lineRule="auto"/>
        <w:ind w:left="0" w:firstLine="709"/>
        <w:jc w:val="both"/>
        <w:rPr>
          <w:rFonts w:ascii="Times New Roman" w:eastAsia="Times New Roman" w:hAnsi="Times New Roman" w:cs="Times New Roman"/>
        </w:rPr>
      </w:pPr>
      <w:r>
        <w:rPr>
          <w:rFonts w:ascii="Times New Roman" w:eastAsia="Times New Roman" w:hAnsi="Times New Roman" w:cs="Times New Roman"/>
          <w:sz w:val="24"/>
          <w:szCs w:val="24"/>
        </w:rPr>
        <w:t>6. Укрепляется сотрудничество между образовательными учреждениями и IT-отраслью. — URL: https://ac.gov.ru/news/page/ukreplaetsa-sotrudnicestvo-mezdu-obrazovatelnymi-ucrezdeniami-i-it-otraslu-28268 (дата обращения: 29.04.2026).</w:t>
      </w:r>
    </w:p>
    <w:p w:rsidR="00536D59" w:rsidRDefault="00AC4DBB" w:rsidP="000F1336">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36D59" w:rsidRDefault="00AC4DBB" w:rsidP="009420B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УДК 316.346.32-053.6</w:t>
      </w:r>
    </w:p>
    <w:p w:rsidR="00536D59" w:rsidRDefault="00AC4DBB" w:rsidP="009420B1">
      <w:pPr>
        <w:spacing w:after="0" w:line="240" w:lineRule="auto"/>
        <w:ind w:firstLine="709"/>
        <w:jc w:val="center"/>
        <w:rPr>
          <w:rFonts w:ascii="Times New Roman" w:hAnsi="Times New Roman" w:cs="Times New Roman"/>
          <w:b/>
          <w:caps/>
          <w:sz w:val="28"/>
          <w:szCs w:val="28"/>
        </w:rPr>
      </w:pPr>
      <w:r>
        <w:rPr>
          <w:rFonts w:ascii="Times New Roman" w:hAnsi="Times New Roman" w:cs="Times New Roman"/>
          <w:b/>
          <w:caps/>
          <w:sz w:val="28"/>
          <w:szCs w:val="28"/>
        </w:rPr>
        <w:t>профессиональное определение молодежи в условиях современного рынка труда</w:t>
      </w:r>
    </w:p>
    <w:p w:rsidR="00536D59" w:rsidRDefault="00536D59" w:rsidP="009420B1">
      <w:pPr>
        <w:spacing w:after="0" w:line="240" w:lineRule="auto"/>
        <w:ind w:firstLine="709"/>
        <w:jc w:val="center"/>
        <w:rPr>
          <w:rFonts w:ascii="Times New Roman" w:hAnsi="Times New Roman" w:cs="Times New Roman"/>
          <w:sz w:val="28"/>
          <w:szCs w:val="28"/>
        </w:rPr>
      </w:pPr>
    </w:p>
    <w:p w:rsidR="00536D59" w:rsidRDefault="00AC4DBB" w:rsidP="009420B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Лихачёва Светлана Николаевна, </w:t>
      </w:r>
    </w:p>
    <w:p w:rsidR="00536D59" w:rsidRDefault="00AC4DBB" w:rsidP="009420B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заведующий кафедрой теории права и социально-политических дисциплин, МГУ имени А.А.Кулешова, кандидат социол. наук, доцент</w:t>
      </w:r>
    </w:p>
    <w:p w:rsidR="00536D59" w:rsidRDefault="00AC4DBB" w:rsidP="009420B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(г. Могилев, Беларусь)</w:t>
      </w:r>
    </w:p>
    <w:p w:rsidR="00536D59" w:rsidRDefault="00AC4DBB" w:rsidP="009420B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lang w:val="en-US"/>
        </w:rPr>
        <w:t>lihachyova</w:t>
      </w:r>
      <w:r>
        <w:rPr>
          <w:rFonts w:ascii="Times New Roman" w:hAnsi="Times New Roman" w:cs="Times New Roman"/>
          <w:sz w:val="28"/>
          <w:szCs w:val="28"/>
        </w:rPr>
        <w:t>@</w:t>
      </w:r>
      <w:r>
        <w:rPr>
          <w:rFonts w:ascii="Times New Roman" w:hAnsi="Times New Roman" w:cs="Times New Roman"/>
          <w:sz w:val="28"/>
          <w:szCs w:val="28"/>
          <w:lang w:val="en-US"/>
        </w:rPr>
        <w:t>m</w:t>
      </w:r>
      <w:r>
        <w:rPr>
          <w:rFonts w:ascii="Times New Roman" w:hAnsi="Times New Roman" w:cs="Times New Roman"/>
          <w:sz w:val="28"/>
          <w:szCs w:val="28"/>
        </w:rPr>
        <w:t>.</w:t>
      </w:r>
      <w:r>
        <w:rPr>
          <w:rFonts w:ascii="Times New Roman" w:hAnsi="Times New Roman" w:cs="Times New Roman"/>
          <w:sz w:val="28"/>
          <w:szCs w:val="28"/>
          <w:lang w:val="en-US"/>
        </w:rPr>
        <w:t>msu</w:t>
      </w:r>
      <w:r>
        <w:rPr>
          <w:rFonts w:ascii="Times New Roman" w:hAnsi="Times New Roman" w:cs="Times New Roman"/>
          <w:sz w:val="28"/>
          <w:szCs w:val="28"/>
        </w:rPr>
        <w:t>.</w:t>
      </w:r>
      <w:r>
        <w:rPr>
          <w:rFonts w:ascii="Times New Roman" w:hAnsi="Times New Roman" w:cs="Times New Roman"/>
          <w:sz w:val="28"/>
          <w:szCs w:val="28"/>
          <w:lang w:val="en-US"/>
        </w:rPr>
        <w:t>by</w:t>
      </w:r>
    </w:p>
    <w:p w:rsidR="00536D59" w:rsidRDefault="00536D59" w:rsidP="009420B1">
      <w:pPr>
        <w:spacing w:after="0" w:line="240" w:lineRule="auto"/>
        <w:ind w:firstLine="709"/>
        <w:jc w:val="center"/>
        <w:rPr>
          <w:rFonts w:ascii="Times New Roman" w:hAnsi="Times New Roman" w:cs="Times New Roman"/>
          <w:sz w:val="28"/>
          <w:szCs w:val="28"/>
        </w:rPr>
      </w:pPr>
    </w:p>
    <w:p w:rsidR="00536D59" w:rsidRDefault="009420B1" w:rsidP="009420B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bCs/>
          <w:sz w:val="20"/>
          <w:szCs w:val="20"/>
          <w:highlight w:val="white"/>
        </w:rPr>
        <w:t>Аннотация.</w:t>
      </w:r>
      <w:r>
        <w:rPr>
          <w:rFonts w:ascii="Times New Roman" w:eastAsia="Times New Roman" w:hAnsi="Times New Roman" w:cs="Times New Roman"/>
          <w:b/>
          <w:bCs/>
          <w:sz w:val="20"/>
          <w:szCs w:val="20"/>
        </w:rPr>
        <w:t xml:space="preserve"> </w:t>
      </w:r>
      <w:r w:rsidR="00AC4DBB">
        <w:rPr>
          <w:rFonts w:ascii="Times New Roman" w:hAnsi="Times New Roman" w:cs="Times New Roman"/>
          <w:sz w:val="24"/>
          <w:szCs w:val="24"/>
        </w:rPr>
        <w:t>Представлен социологический анализ проблем профессионального определения молодежи. Рассмотрены объективные и субъективные сложности, с которыми сталкиваются молодые люди при выборе профессии. Среди мотивов профессионального выбора первостепенное значение имеет возможность самореализации, высокая оплата труда, престиж профессии.</w:t>
      </w:r>
    </w:p>
    <w:p w:rsidR="00536D59" w:rsidRDefault="00536D59" w:rsidP="009420B1">
      <w:pPr>
        <w:spacing w:after="0" w:line="240" w:lineRule="auto"/>
        <w:ind w:firstLine="709"/>
        <w:rPr>
          <w:rFonts w:ascii="Times New Roman" w:hAnsi="Times New Roman" w:cs="Times New Roman"/>
          <w:sz w:val="28"/>
          <w:szCs w:val="28"/>
        </w:rPr>
      </w:pPr>
    </w:p>
    <w:p w:rsidR="00536D59" w:rsidRDefault="00AC4DBB" w:rsidP="009420B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Одной из целей устойчивого развития «Повестки – 2030» является «Содействие поступательному, всеохватному и устойчивому экономическому росту, полной и производительной занятости и достойной работе для всех» </w:t>
      </w:r>
      <w:bookmarkStart w:id="0" w:name="_Hlk228860716"/>
      <w:r>
        <w:rPr>
          <w:rFonts w:ascii="Times New Roman" w:eastAsia="Times New Roman" w:hAnsi="Times New Roman" w:cs="Times New Roman"/>
          <w:sz w:val="28"/>
          <w:szCs w:val="28"/>
        </w:rPr>
        <w:t>[1]</w:t>
      </w:r>
      <w:bookmarkEnd w:id="0"/>
      <w:r>
        <w:rPr>
          <w:rFonts w:ascii="Times New Roman" w:eastAsia="Times New Roman" w:hAnsi="Times New Roman" w:cs="Times New Roman"/>
          <w:sz w:val="28"/>
          <w:szCs w:val="28"/>
        </w:rPr>
        <w:t xml:space="preserve">. Государственная программа «Сбалансированный рынок труда» на 2026–2030 гг. базируется на принципе институциональной преемственности, сохраняя стратегические векторы социально-экономического развития и приоритеты социальной политики предшествующего планового периода [2]. В рамках Программы реализуется системный подход к регулированию трудовых ресурсов, детерминированный текущим состоянием и прогнозными показателями развития национальной экономики. С учетом современных макроэкономических вызовов парадигма государственной политики занятости трансформирована, в ней фокус смещен на удовлетворение кадровой потребности реального сектора экономики и формирование институциональных условий для реализации трудового потенциала граждан. </w:t>
      </w:r>
    </w:p>
    <w:p w:rsidR="00536D59" w:rsidRDefault="00AC4DBB" w:rsidP="009420B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информации </w:t>
      </w:r>
      <w:bookmarkStart w:id="1" w:name="_Hlk228863849"/>
      <w:r>
        <w:rPr>
          <w:rFonts w:ascii="Times New Roman" w:eastAsia="Times New Roman" w:hAnsi="Times New Roman" w:cs="Times New Roman"/>
          <w:sz w:val="28"/>
          <w:szCs w:val="28"/>
        </w:rPr>
        <w:t>Министерства труда и социальной защиты Республики Беларусь</w:t>
      </w:r>
      <w:bookmarkEnd w:id="1"/>
      <w:r>
        <w:rPr>
          <w:rFonts w:ascii="Times New Roman" w:eastAsia="Times New Roman" w:hAnsi="Times New Roman" w:cs="Times New Roman"/>
          <w:sz w:val="28"/>
          <w:szCs w:val="28"/>
        </w:rPr>
        <w:t xml:space="preserve"> «Нанимателями на 1 апреля 2026 г. заявлены сведения о наличии 149,4 тыс. свободных рабочих мест. Спрос на работников по профессиям рабочих составил 68,6% от общего числа вакансий». В Могилевской области имеется 16 тыс. свободных рабочих мест, из которых на рабочие профессии требуется 11,2 тыс. человек [3]. </w:t>
      </w:r>
    </w:p>
    <w:p w:rsidR="00536D59" w:rsidRDefault="00AC4DBB" w:rsidP="009420B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условиях демографического кризиса, характеризующегося суженным типом воспроизводства населения, человеческий капитал рассматривается как ключевая детерминанта обеспечения национальной безопасности и стратегический ресурс государства. Молодежь выступает </w:t>
      </w:r>
      <w:r w:rsidRPr="009420B1">
        <w:rPr>
          <w:rFonts w:ascii="Times New Roman" w:eastAsia="Times New Roman" w:hAnsi="Times New Roman" w:cs="Times New Roman"/>
          <w:sz w:val="28"/>
          <w:szCs w:val="28"/>
        </w:rPr>
        <w:t>основным источником для восполнения и развития рынка труда в том</w:t>
      </w:r>
      <w:r>
        <w:rPr>
          <w:rFonts w:ascii="Times New Roman" w:eastAsia="Times New Roman" w:hAnsi="Times New Roman" w:cs="Times New Roman"/>
          <w:sz w:val="28"/>
          <w:szCs w:val="28"/>
        </w:rPr>
        <w:t xml:space="preserve"> числе на региональном уровне. Однако молодые люди не всегда готовы в </w:t>
      </w:r>
      <w:r>
        <w:rPr>
          <w:rFonts w:ascii="Times New Roman" w:eastAsia="Times New Roman" w:hAnsi="Times New Roman" w:cs="Times New Roman"/>
          <w:sz w:val="28"/>
          <w:szCs w:val="28"/>
        </w:rPr>
        <w:lastRenderedPageBreak/>
        <w:t>полной мере приступить к трудовой деятельности в силу ряда объективных и субъективных причин, среди которых сложности с профессиональным определением. Оптимальный с точки зрения интересов общества выбор профессии предполагает реалистическую, построенную на основе надежной социальной информации оценку состояния общественных потребностей в тех или иных видах профессионального труда. Основным фактором такой оценки должен быть личный опыт индивида в сочетании с опытом других, усвоенным через целый ряд каналов и факторов социализации.</w:t>
      </w:r>
    </w:p>
    <w:p w:rsidR="00536D59" w:rsidRDefault="00AC4DBB" w:rsidP="009420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Субъективные оценки во многом определяют ситуацию выбора как сферы, так и типа профессиональной деятельности, синтезируясь в рамках социального престижа профессии. Социальная установка включает в себя эмоциональный, когнитивный и поведенческий элементы. Она возможна лишь как взаимосвязанное целое, включающее все три компонента. Вместе с тем возможна частичная компенсация недостаточной «наполненности» одного из компонентов за счет других. У молодежи в ходе ее социально-профессиональной ориентации эмоциональный компонент может преобладать над когнитивным из-за недостаточности жизненного опыта. В общественном мнении оценка реального вклада профессиональной категории опосредуется социально-психологическими факторами. Так, распространена своеобразная «профессиональная мифология», с помощью которой престиж профессии приобретает черты стереотипа, шаблона поведения, выполняющего компенсаторные функции относительно когнитивного компонента профессиональной установки.</w:t>
      </w:r>
    </w:p>
    <w:p w:rsidR="00536D59" w:rsidRDefault="00AC4DBB" w:rsidP="009420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Исследование, проведенное в Могилевской области управлением социологических исследований и информационно-аналитической работы КИУП «Информационное агентство «Могилевские ведомости», показывает основные приоритеты старшеклассников в ходе профессионального определения. При ответе на вопрос «Что для Вас наиболее важно в Вашей будущей профессии?» респонденты указали, что в первую очередь их привлекает высокая оплата – 63,4% и комфортные условия труда – 62,5%. Многие молодые люди видят себя в перспективе сотрудниками компаний или фирм, располагающихся в офисах, а не на производственных предприятиях, стройках и т.д. Возможность построения карьеры ценна для 47,5%, творческая свобода - для 33%, престиж профессии - для 22,6%, простота выполнения, необременительность - для 8,6%. </w:t>
      </w:r>
    </w:p>
    <w:p w:rsidR="00536D59" w:rsidRDefault="00AC4DBB" w:rsidP="009420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мотивы выбора профессии старшеклассниками заключаются в реализации своих интересов и склонностей (таблица).</w:t>
      </w:r>
    </w:p>
    <w:p w:rsidR="009420B1" w:rsidRDefault="009420B1" w:rsidP="009420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профессии – сложный и ответственный шаг в становлении человека. Среди основных мотивов доминируют интерес и склонности, а также высокая оплата труда. Уровень заработной платы имеет большую значимость для представителей мужского пола и проживающих в </w:t>
      </w:r>
      <w:r>
        <w:rPr>
          <w:rFonts w:ascii="Times New Roman" w:hAnsi="Times New Roman" w:cs="Times New Roman"/>
          <w:sz w:val="28"/>
          <w:szCs w:val="28"/>
        </w:rPr>
        <w:lastRenderedPageBreak/>
        <w:t>райцентрах.</w:t>
      </w:r>
      <w:r w:rsidRPr="009420B1">
        <w:rPr>
          <w:rFonts w:ascii="Times New Roman" w:hAnsi="Times New Roman" w:cs="Times New Roman"/>
          <w:sz w:val="28"/>
          <w:szCs w:val="28"/>
        </w:rPr>
        <w:t xml:space="preserve"> </w:t>
      </w:r>
      <w:r>
        <w:rPr>
          <w:rFonts w:ascii="Times New Roman" w:hAnsi="Times New Roman" w:cs="Times New Roman"/>
          <w:sz w:val="28"/>
          <w:szCs w:val="28"/>
        </w:rPr>
        <w:t>Каждый третий учитывает престиж будущей профессии в обществе.</w:t>
      </w:r>
    </w:p>
    <w:p w:rsidR="00536D59" w:rsidRDefault="00AC4DBB" w:rsidP="009420B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Таблица – Распределение ответов старшеклассников на вопрос «Чем вы будете руководствоваться при выборе профессии?», %</w:t>
      </w:r>
    </w:p>
    <w:tbl>
      <w:tblPr>
        <w:tblStyle w:val="af"/>
        <w:tblW w:w="0" w:type="auto"/>
        <w:tblLook w:val="04A0"/>
      </w:tblPr>
      <w:tblGrid>
        <w:gridCol w:w="3256"/>
        <w:gridCol w:w="1597"/>
        <w:gridCol w:w="957"/>
        <w:gridCol w:w="1082"/>
        <w:gridCol w:w="1084"/>
        <w:gridCol w:w="1093"/>
      </w:tblGrid>
      <w:tr w:rsidR="00536D59">
        <w:tc>
          <w:tcPr>
            <w:tcW w:w="3256" w:type="dxa"/>
          </w:tcPr>
          <w:p w:rsidR="00536D59" w:rsidRDefault="00AC4DBB" w:rsidP="009420B1">
            <w:pPr>
              <w:spacing w:after="0" w:line="240" w:lineRule="auto"/>
              <w:rPr>
                <w:rFonts w:ascii="Times New Roman" w:hAnsi="Times New Roman" w:cs="Times New Roman"/>
                <w:bCs/>
              </w:rPr>
            </w:pPr>
            <w:r>
              <w:rPr>
                <w:rFonts w:ascii="Times New Roman" w:hAnsi="Times New Roman" w:cs="Times New Roman"/>
                <w:bCs/>
              </w:rPr>
              <w:t>Мотивы</w:t>
            </w:r>
          </w:p>
        </w:tc>
        <w:tc>
          <w:tcPr>
            <w:tcW w:w="1588" w:type="dxa"/>
          </w:tcPr>
          <w:p w:rsidR="00536D59" w:rsidRDefault="00AC4DBB" w:rsidP="009420B1">
            <w:pPr>
              <w:spacing w:after="0" w:line="240" w:lineRule="auto"/>
              <w:jc w:val="center"/>
              <w:rPr>
                <w:rFonts w:ascii="Times New Roman" w:hAnsi="Times New Roman" w:cs="Times New Roman"/>
                <w:bCs/>
              </w:rPr>
            </w:pPr>
            <w:r>
              <w:rPr>
                <w:rFonts w:ascii="Times New Roman" w:hAnsi="Times New Roman" w:cs="Times New Roman"/>
                <w:bCs/>
              </w:rPr>
              <w:t>Общее распределение</w:t>
            </w:r>
          </w:p>
        </w:tc>
        <w:tc>
          <w:tcPr>
            <w:tcW w:w="957" w:type="dxa"/>
          </w:tcPr>
          <w:p w:rsidR="00536D59" w:rsidRDefault="00AC4DBB" w:rsidP="009420B1">
            <w:pPr>
              <w:spacing w:after="0" w:line="240" w:lineRule="auto"/>
              <w:jc w:val="center"/>
              <w:rPr>
                <w:rFonts w:ascii="Times New Roman" w:hAnsi="Times New Roman" w:cs="Times New Roman"/>
                <w:bCs/>
              </w:rPr>
            </w:pPr>
            <w:r>
              <w:rPr>
                <w:rFonts w:ascii="Times New Roman" w:hAnsi="Times New Roman" w:cs="Times New Roman"/>
                <w:bCs/>
              </w:rPr>
              <w:t>Юноши</w:t>
            </w:r>
          </w:p>
        </w:tc>
        <w:tc>
          <w:tcPr>
            <w:tcW w:w="1082" w:type="dxa"/>
          </w:tcPr>
          <w:p w:rsidR="00536D59" w:rsidRDefault="00AC4DBB" w:rsidP="009420B1">
            <w:pPr>
              <w:spacing w:after="0" w:line="240" w:lineRule="auto"/>
              <w:jc w:val="center"/>
              <w:rPr>
                <w:rFonts w:ascii="Times New Roman" w:hAnsi="Times New Roman" w:cs="Times New Roman"/>
                <w:bCs/>
              </w:rPr>
            </w:pPr>
            <w:r>
              <w:rPr>
                <w:rFonts w:ascii="Times New Roman" w:hAnsi="Times New Roman" w:cs="Times New Roman"/>
                <w:bCs/>
              </w:rPr>
              <w:t>Девушки</w:t>
            </w:r>
          </w:p>
        </w:tc>
        <w:tc>
          <w:tcPr>
            <w:tcW w:w="1084" w:type="dxa"/>
          </w:tcPr>
          <w:p w:rsidR="00536D59" w:rsidRDefault="00AC4DBB" w:rsidP="009420B1">
            <w:pPr>
              <w:spacing w:after="0" w:line="240" w:lineRule="auto"/>
              <w:jc w:val="center"/>
              <w:rPr>
                <w:rFonts w:ascii="Times New Roman" w:hAnsi="Times New Roman" w:cs="Times New Roman"/>
                <w:bCs/>
              </w:rPr>
            </w:pPr>
            <w:r>
              <w:rPr>
                <w:rFonts w:ascii="Times New Roman" w:hAnsi="Times New Roman" w:cs="Times New Roman"/>
                <w:bCs/>
              </w:rPr>
              <w:t>Крупный город</w:t>
            </w:r>
          </w:p>
        </w:tc>
        <w:tc>
          <w:tcPr>
            <w:tcW w:w="1093" w:type="dxa"/>
          </w:tcPr>
          <w:p w:rsidR="00536D59" w:rsidRDefault="00AC4DBB" w:rsidP="009420B1">
            <w:pPr>
              <w:spacing w:after="0" w:line="240" w:lineRule="auto"/>
              <w:jc w:val="center"/>
              <w:rPr>
                <w:rFonts w:ascii="Times New Roman" w:hAnsi="Times New Roman" w:cs="Times New Roman"/>
                <w:bCs/>
              </w:rPr>
            </w:pPr>
            <w:r>
              <w:rPr>
                <w:rFonts w:ascii="Times New Roman" w:hAnsi="Times New Roman" w:cs="Times New Roman"/>
                <w:bCs/>
              </w:rPr>
              <w:t>Райцентр</w:t>
            </w:r>
          </w:p>
        </w:tc>
      </w:tr>
      <w:tr w:rsidR="00536D59">
        <w:tc>
          <w:tcPr>
            <w:tcW w:w="3256" w:type="dxa"/>
          </w:tcPr>
          <w:p w:rsidR="00536D59" w:rsidRDefault="00AC4DBB" w:rsidP="009420B1">
            <w:pPr>
              <w:spacing w:after="0" w:line="240" w:lineRule="auto"/>
              <w:rPr>
                <w:rFonts w:ascii="Times New Roman" w:hAnsi="Times New Roman" w:cs="Times New Roman"/>
              </w:rPr>
            </w:pPr>
            <w:r>
              <w:rPr>
                <w:rFonts w:ascii="Times New Roman" w:hAnsi="Times New Roman" w:cs="Times New Roman"/>
              </w:rPr>
              <w:t>Собственный интерес, склонности</w:t>
            </w:r>
          </w:p>
        </w:tc>
        <w:tc>
          <w:tcPr>
            <w:tcW w:w="1588"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86</w:t>
            </w:r>
          </w:p>
        </w:tc>
        <w:tc>
          <w:tcPr>
            <w:tcW w:w="957"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85,7</w:t>
            </w:r>
          </w:p>
        </w:tc>
        <w:tc>
          <w:tcPr>
            <w:tcW w:w="1082"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86,3</w:t>
            </w:r>
          </w:p>
        </w:tc>
        <w:tc>
          <w:tcPr>
            <w:tcW w:w="1084"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84,2</w:t>
            </w:r>
          </w:p>
        </w:tc>
        <w:tc>
          <w:tcPr>
            <w:tcW w:w="1093"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91,4</w:t>
            </w:r>
          </w:p>
        </w:tc>
      </w:tr>
      <w:tr w:rsidR="00536D59">
        <w:tc>
          <w:tcPr>
            <w:tcW w:w="3256" w:type="dxa"/>
          </w:tcPr>
          <w:p w:rsidR="00536D59" w:rsidRDefault="00AC4DBB" w:rsidP="009420B1">
            <w:pPr>
              <w:spacing w:after="0" w:line="240" w:lineRule="auto"/>
              <w:rPr>
                <w:rFonts w:ascii="Times New Roman" w:hAnsi="Times New Roman" w:cs="Times New Roman"/>
              </w:rPr>
            </w:pPr>
            <w:r>
              <w:rPr>
                <w:rFonts w:ascii="Times New Roman" w:hAnsi="Times New Roman" w:cs="Times New Roman"/>
              </w:rPr>
              <w:t>Высокая оплата труда</w:t>
            </w:r>
          </w:p>
        </w:tc>
        <w:tc>
          <w:tcPr>
            <w:tcW w:w="1588"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68,1</w:t>
            </w:r>
          </w:p>
        </w:tc>
        <w:tc>
          <w:tcPr>
            <w:tcW w:w="957"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70,4</w:t>
            </w:r>
          </w:p>
        </w:tc>
        <w:tc>
          <w:tcPr>
            <w:tcW w:w="1082"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66,3</w:t>
            </w:r>
          </w:p>
        </w:tc>
        <w:tc>
          <w:tcPr>
            <w:tcW w:w="1084"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66,9</w:t>
            </w:r>
          </w:p>
        </w:tc>
        <w:tc>
          <w:tcPr>
            <w:tcW w:w="1093"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71,6</w:t>
            </w:r>
          </w:p>
        </w:tc>
      </w:tr>
      <w:tr w:rsidR="00536D59">
        <w:tc>
          <w:tcPr>
            <w:tcW w:w="3256" w:type="dxa"/>
          </w:tcPr>
          <w:p w:rsidR="00536D59" w:rsidRDefault="00AC4DBB" w:rsidP="009420B1">
            <w:pPr>
              <w:spacing w:after="0" w:line="240" w:lineRule="auto"/>
              <w:rPr>
                <w:rFonts w:ascii="Times New Roman" w:hAnsi="Times New Roman" w:cs="Times New Roman"/>
              </w:rPr>
            </w:pPr>
            <w:r>
              <w:rPr>
                <w:rFonts w:ascii="Times New Roman" w:hAnsi="Times New Roman" w:cs="Times New Roman"/>
              </w:rPr>
              <w:t>Престиж профессии в обществе</w:t>
            </w:r>
          </w:p>
        </w:tc>
        <w:tc>
          <w:tcPr>
            <w:tcW w:w="1588"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33</w:t>
            </w:r>
          </w:p>
        </w:tc>
        <w:tc>
          <w:tcPr>
            <w:tcW w:w="957"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32,7</w:t>
            </w:r>
          </w:p>
        </w:tc>
        <w:tc>
          <w:tcPr>
            <w:tcW w:w="1082"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33,3</w:t>
            </w:r>
          </w:p>
        </w:tc>
        <w:tc>
          <w:tcPr>
            <w:tcW w:w="1084"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29,9</w:t>
            </w:r>
          </w:p>
        </w:tc>
        <w:tc>
          <w:tcPr>
            <w:tcW w:w="1093"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42,2</w:t>
            </w:r>
          </w:p>
        </w:tc>
      </w:tr>
      <w:tr w:rsidR="00536D59">
        <w:tc>
          <w:tcPr>
            <w:tcW w:w="3256" w:type="dxa"/>
          </w:tcPr>
          <w:p w:rsidR="00536D59" w:rsidRDefault="00AC4DBB" w:rsidP="009420B1">
            <w:pPr>
              <w:spacing w:after="0" w:line="240" w:lineRule="auto"/>
              <w:rPr>
                <w:rFonts w:ascii="Times New Roman" w:hAnsi="Times New Roman" w:cs="Times New Roman"/>
              </w:rPr>
            </w:pPr>
            <w:r>
              <w:rPr>
                <w:rFonts w:ascii="Times New Roman" w:hAnsi="Times New Roman" w:cs="Times New Roman"/>
              </w:rPr>
              <w:t>Творческий характер профессии</w:t>
            </w:r>
          </w:p>
        </w:tc>
        <w:tc>
          <w:tcPr>
            <w:tcW w:w="1588"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26,4</w:t>
            </w:r>
          </w:p>
        </w:tc>
        <w:tc>
          <w:tcPr>
            <w:tcW w:w="957"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19,4</w:t>
            </w:r>
          </w:p>
        </w:tc>
        <w:tc>
          <w:tcPr>
            <w:tcW w:w="1082"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31,8</w:t>
            </w:r>
          </w:p>
        </w:tc>
        <w:tc>
          <w:tcPr>
            <w:tcW w:w="1084"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26,3</w:t>
            </w:r>
          </w:p>
        </w:tc>
        <w:tc>
          <w:tcPr>
            <w:tcW w:w="1093"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26,7</w:t>
            </w:r>
          </w:p>
        </w:tc>
      </w:tr>
      <w:tr w:rsidR="00536D59">
        <w:tc>
          <w:tcPr>
            <w:tcW w:w="3256" w:type="dxa"/>
          </w:tcPr>
          <w:p w:rsidR="00536D59" w:rsidRDefault="00AC4DBB" w:rsidP="009420B1">
            <w:pPr>
              <w:spacing w:after="0" w:line="240" w:lineRule="auto"/>
              <w:rPr>
                <w:rFonts w:ascii="Times New Roman" w:hAnsi="Times New Roman" w:cs="Times New Roman"/>
              </w:rPr>
            </w:pPr>
            <w:r>
              <w:rPr>
                <w:rFonts w:ascii="Times New Roman" w:hAnsi="Times New Roman" w:cs="Times New Roman"/>
              </w:rPr>
              <w:t>Совет родителей</w:t>
            </w:r>
          </w:p>
        </w:tc>
        <w:tc>
          <w:tcPr>
            <w:tcW w:w="1588"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18,6</w:t>
            </w:r>
          </w:p>
        </w:tc>
        <w:tc>
          <w:tcPr>
            <w:tcW w:w="957"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15,8</w:t>
            </w:r>
          </w:p>
        </w:tc>
        <w:tc>
          <w:tcPr>
            <w:tcW w:w="1082"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20,8</w:t>
            </w:r>
          </w:p>
        </w:tc>
        <w:tc>
          <w:tcPr>
            <w:tcW w:w="1084"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17,6</w:t>
            </w:r>
          </w:p>
        </w:tc>
        <w:tc>
          <w:tcPr>
            <w:tcW w:w="1093"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21,6</w:t>
            </w:r>
          </w:p>
        </w:tc>
      </w:tr>
      <w:tr w:rsidR="00536D59">
        <w:tc>
          <w:tcPr>
            <w:tcW w:w="3256" w:type="dxa"/>
          </w:tcPr>
          <w:p w:rsidR="00536D59" w:rsidRDefault="00AC4DBB" w:rsidP="009420B1">
            <w:pPr>
              <w:spacing w:after="0" w:line="240" w:lineRule="auto"/>
              <w:rPr>
                <w:rFonts w:ascii="Times New Roman" w:hAnsi="Times New Roman" w:cs="Times New Roman"/>
              </w:rPr>
            </w:pPr>
            <w:r>
              <w:rPr>
                <w:rFonts w:ascii="Times New Roman" w:hAnsi="Times New Roman" w:cs="Times New Roman"/>
              </w:rPr>
              <w:t>Легкость выполняемой работы</w:t>
            </w:r>
          </w:p>
        </w:tc>
        <w:tc>
          <w:tcPr>
            <w:tcW w:w="1588"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12,6</w:t>
            </w:r>
          </w:p>
        </w:tc>
        <w:tc>
          <w:tcPr>
            <w:tcW w:w="957"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14,3</w:t>
            </w:r>
          </w:p>
        </w:tc>
        <w:tc>
          <w:tcPr>
            <w:tcW w:w="1082"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11,4</w:t>
            </w:r>
          </w:p>
        </w:tc>
        <w:tc>
          <w:tcPr>
            <w:tcW w:w="1084"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14</w:t>
            </w:r>
          </w:p>
        </w:tc>
        <w:tc>
          <w:tcPr>
            <w:tcW w:w="1093"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8,6</w:t>
            </w:r>
          </w:p>
        </w:tc>
      </w:tr>
      <w:tr w:rsidR="00536D59">
        <w:tc>
          <w:tcPr>
            <w:tcW w:w="3256" w:type="dxa"/>
          </w:tcPr>
          <w:p w:rsidR="00536D59" w:rsidRDefault="00AC4DBB" w:rsidP="009420B1">
            <w:pPr>
              <w:spacing w:after="0" w:line="240" w:lineRule="auto"/>
              <w:rPr>
                <w:rFonts w:ascii="Times New Roman" w:hAnsi="Times New Roman" w:cs="Times New Roman"/>
              </w:rPr>
            </w:pPr>
            <w:r>
              <w:rPr>
                <w:rFonts w:ascii="Times New Roman" w:hAnsi="Times New Roman" w:cs="Times New Roman"/>
              </w:rPr>
              <w:t>Легко трудоустроиться</w:t>
            </w:r>
          </w:p>
        </w:tc>
        <w:tc>
          <w:tcPr>
            <w:tcW w:w="1588"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6,7</w:t>
            </w:r>
          </w:p>
        </w:tc>
        <w:tc>
          <w:tcPr>
            <w:tcW w:w="957"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5,6</w:t>
            </w:r>
          </w:p>
        </w:tc>
        <w:tc>
          <w:tcPr>
            <w:tcW w:w="1082"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7,5</w:t>
            </w:r>
          </w:p>
        </w:tc>
        <w:tc>
          <w:tcPr>
            <w:tcW w:w="1084"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7,2</w:t>
            </w:r>
          </w:p>
        </w:tc>
        <w:tc>
          <w:tcPr>
            <w:tcW w:w="1093"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5,2</w:t>
            </w:r>
          </w:p>
        </w:tc>
      </w:tr>
      <w:tr w:rsidR="00536D59">
        <w:tc>
          <w:tcPr>
            <w:tcW w:w="3256" w:type="dxa"/>
          </w:tcPr>
          <w:p w:rsidR="00536D59" w:rsidRDefault="00AC4DBB" w:rsidP="009420B1">
            <w:pPr>
              <w:spacing w:after="0" w:line="240" w:lineRule="auto"/>
              <w:rPr>
                <w:rFonts w:ascii="Times New Roman" w:hAnsi="Times New Roman" w:cs="Times New Roman"/>
              </w:rPr>
            </w:pPr>
            <w:r>
              <w:rPr>
                <w:rFonts w:ascii="Times New Roman" w:hAnsi="Times New Roman" w:cs="Times New Roman"/>
              </w:rPr>
              <w:t>Совет друзей</w:t>
            </w:r>
          </w:p>
        </w:tc>
        <w:tc>
          <w:tcPr>
            <w:tcW w:w="1588"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4,7</w:t>
            </w:r>
          </w:p>
        </w:tc>
        <w:tc>
          <w:tcPr>
            <w:tcW w:w="957"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5,6</w:t>
            </w:r>
          </w:p>
        </w:tc>
        <w:tc>
          <w:tcPr>
            <w:tcW w:w="1082"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3,9</w:t>
            </w:r>
          </w:p>
        </w:tc>
        <w:tc>
          <w:tcPr>
            <w:tcW w:w="1084"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5,1</w:t>
            </w:r>
          </w:p>
        </w:tc>
        <w:tc>
          <w:tcPr>
            <w:tcW w:w="1093"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3,4</w:t>
            </w:r>
          </w:p>
        </w:tc>
      </w:tr>
      <w:tr w:rsidR="00536D59">
        <w:tc>
          <w:tcPr>
            <w:tcW w:w="3256" w:type="dxa"/>
          </w:tcPr>
          <w:p w:rsidR="00536D59" w:rsidRDefault="00AC4DBB" w:rsidP="009420B1">
            <w:pPr>
              <w:spacing w:after="0" w:line="240" w:lineRule="auto"/>
              <w:rPr>
                <w:rFonts w:ascii="Times New Roman" w:hAnsi="Times New Roman" w:cs="Times New Roman"/>
              </w:rPr>
            </w:pPr>
            <w:r>
              <w:rPr>
                <w:rFonts w:ascii="Times New Roman" w:hAnsi="Times New Roman" w:cs="Times New Roman"/>
              </w:rPr>
              <w:t>Просто нужно где-то учиться, работать</w:t>
            </w:r>
          </w:p>
        </w:tc>
        <w:tc>
          <w:tcPr>
            <w:tcW w:w="1588"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2,4</w:t>
            </w:r>
          </w:p>
        </w:tc>
        <w:tc>
          <w:tcPr>
            <w:tcW w:w="957"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4,1</w:t>
            </w:r>
          </w:p>
        </w:tc>
        <w:tc>
          <w:tcPr>
            <w:tcW w:w="1082"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1,2</w:t>
            </w:r>
          </w:p>
        </w:tc>
        <w:tc>
          <w:tcPr>
            <w:tcW w:w="1084"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3</w:t>
            </w:r>
          </w:p>
        </w:tc>
        <w:tc>
          <w:tcPr>
            <w:tcW w:w="1093"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0,9</w:t>
            </w:r>
          </w:p>
        </w:tc>
      </w:tr>
      <w:tr w:rsidR="00536D59">
        <w:tc>
          <w:tcPr>
            <w:tcW w:w="3256" w:type="dxa"/>
          </w:tcPr>
          <w:p w:rsidR="00536D59" w:rsidRDefault="00AC4DBB" w:rsidP="009420B1">
            <w:pPr>
              <w:spacing w:after="0" w:line="240" w:lineRule="auto"/>
              <w:rPr>
                <w:rFonts w:ascii="Times New Roman" w:hAnsi="Times New Roman" w:cs="Times New Roman"/>
              </w:rPr>
            </w:pPr>
            <w:r>
              <w:rPr>
                <w:rFonts w:ascii="Times New Roman" w:hAnsi="Times New Roman" w:cs="Times New Roman"/>
              </w:rPr>
              <w:t>Совет учителей</w:t>
            </w:r>
          </w:p>
        </w:tc>
        <w:tc>
          <w:tcPr>
            <w:tcW w:w="1588"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2,4</w:t>
            </w:r>
          </w:p>
        </w:tc>
        <w:tc>
          <w:tcPr>
            <w:tcW w:w="957"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2,6</w:t>
            </w:r>
          </w:p>
        </w:tc>
        <w:tc>
          <w:tcPr>
            <w:tcW w:w="1082"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2,4</w:t>
            </w:r>
          </w:p>
        </w:tc>
        <w:tc>
          <w:tcPr>
            <w:tcW w:w="1084"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3,3</w:t>
            </w:r>
          </w:p>
        </w:tc>
        <w:tc>
          <w:tcPr>
            <w:tcW w:w="1093" w:type="dxa"/>
          </w:tcPr>
          <w:p w:rsidR="00536D59" w:rsidRDefault="00AC4DBB" w:rsidP="009420B1">
            <w:pPr>
              <w:spacing w:after="0" w:line="240" w:lineRule="auto"/>
              <w:jc w:val="center"/>
              <w:rPr>
                <w:rFonts w:ascii="Times New Roman" w:hAnsi="Times New Roman" w:cs="Times New Roman"/>
              </w:rPr>
            </w:pPr>
            <w:r>
              <w:rPr>
                <w:rFonts w:ascii="Times New Roman" w:hAnsi="Times New Roman" w:cs="Times New Roman"/>
              </w:rPr>
              <w:t>0</w:t>
            </w:r>
          </w:p>
        </w:tc>
      </w:tr>
    </w:tbl>
    <w:p w:rsidR="00536D59" w:rsidRDefault="00AC4DBB" w:rsidP="009420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немало тех, кто хотел бы получить профессию, носящую творческий характер, при этом легкость выполняемой работы или трудоустройства не имеют большой значимости. Советы окружающих (родителей, друзей, учителей) в выборе профессионального будущего, по мнению старшеклассников, не являются определяющими. Хотя в условиях наличия платных форм получения образования, мнение родителей может оказаться решающим. Непосредственное социальное окружение – это не просто сфера прямых контактов личности, но прежде всего совокупность малых социальных трупп, в которой деятельность и общение личности осуществляются непосредственно, в относительно устойчивых формах. Для молодых людей это прежде всего группы сверстников, преподаватели, семья. Однако в наши дни огромное влияние оказывают средства массовой коммуникации, предлагающие в том числе возможности для быстрых и легких заработков с минимальным обучением. Поэтому важное значение имеет целенаправленное воздействие социальных институтов на формирование адекватных профессиональных установок молодежи.</w:t>
      </w:r>
    </w:p>
    <w:p w:rsidR="00536D59" w:rsidRDefault="00536D59" w:rsidP="009420B1">
      <w:pPr>
        <w:spacing w:after="0" w:line="240" w:lineRule="auto"/>
        <w:ind w:firstLine="709"/>
        <w:jc w:val="both"/>
        <w:rPr>
          <w:rFonts w:ascii="Times New Roman" w:hAnsi="Times New Roman" w:cs="Times New Roman"/>
          <w:sz w:val="28"/>
          <w:szCs w:val="28"/>
        </w:rPr>
      </w:pPr>
    </w:p>
    <w:p w:rsidR="00536D59" w:rsidRPr="00AB4FD4" w:rsidRDefault="00AC4DBB" w:rsidP="009420B1">
      <w:pPr>
        <w:spacing w:after="0" w:line="240" w:lineRule="auto"/>
        <w:ind w:firstLine="709"/>
        <w:jc w:val="center"/>
        <w:rPr>
          <w:rFonts w:ascii="Times New Roman" w:hAnsi="Times New Roman" w:cs="Times New Roman"/>
          <w:b/>
          <w:sz w:val="28"/>
          <w:szCs w:val="28"/>
        </w:rPr>
      </w:pPr>
      <w:r w:rsidRPr="00AB4FD4">
        <w:rPr>
          <w:rFonts w:ascii="Times New Roman" w:hAnsi="Times New Roman" w:cs="Times New Roman"/>
          <w:b/>
          <w:sz w:val="28"/>
          <w:szCs w:val="28"/>
        </w:rPr>
        <w:t>Список литературы</w:t>
      </w:r>
    </w:p>
    <w:p w:rsidR="00536D59" w:rsidRDefault="00AC4DBB" w:rsidP="009420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Преобразование нашего мира: Повестка дня в области устойчивого развития на период до 2030 года / Резолюция, принятая Генеральной Ассамблеей 25 сентября 2015 года [Электронный ресурс] // Цели устойчивого развития в Беларуси. – </w:t>
      </w:r>
      <w:bookmarkStart w:id="2" w:name="_Hlk228863897"/>
      <w:r>
        <w:rPr>
          <w:rFonts w:ascii="Times New Roman" w:hAnsi="Times New Roman" w:cs="Times New Roman"/>
          <w:sz w:val="24"/>
          <w:szCs w:val="24"/>
        </w:rPr>
        <w:t xml:space="preserve">Режим доступа : </w:t>
      </w:r>
      <w:bookmarkEnd w:id="2"/>
      <w:r>
        <w:rPr>
          <w:rFonts w:ascii="Times New Roman" w:hAnsi="Times New Roman" w:cs="Times New Roman"/>
          <w:sz w:val="24"/>
          <w:szCs w:val="24"/>
        </w:rPr>
        <w:t xml:space="preserve">https://sdgs.by/wp-content/uploads/2023/11/n1529192.pdf. </w:t>
      </w:r>
      <w:bookmarkStart w:id="3" w:name="_Hlk228863938"/>
      <w:r>
        <w:rPr>
          <w:rFonts w:ascii="Times New Roman" w:hAnsi="Times New Roman" w:cs="Times New Roman"/>
          <w:sz w:val="24"/>
          <w:szCs w:val="24"/>
        </w:rPr>
        <w:t>– Дата доступа : 05.05.2026.</w:t>
      </w:r>
      <w:bookmarkEnd w:id="3"/>
    </w:p>
    <w:p w:rsidR="00536D59" w:rsidRDefault="00AC4DBB" w:rsidP="009420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Государственная программа «</w:t>
      </w:r>
      <w:r>
        <w:rPr>
          <w:rFonts w:ascii="Times New Roman" w:hAnsi="Times New Roman" w:cs="Times New Roman"/>
          <w:sz w:val="24"/>
          <w:szCs w:val="24"/>
          <w:shd w:val="clear" w:color="auto" w:fill="FFFFFF"/>
        </w:rPr>
        <w:t>Сбалансированный рынок труда</w:t>
      </w:r>
      <w:r>
        <w:rPr>
          <w:rFonts w:ascii="Times New Roman" w:hAnsi="Times New Roman" w:cs="Times New Roman"/>
          <w:sz w:val="24"/>
          <w:szCs w:val="24"/>
        </w:rPr>
        <w:t xml:space="preserve">» на 2026–2030 годы. </w:t>
      </w:r>
      <w:bookmarkStart w:id="4" w:name="_Hlk228529605"/>
      <w:r>
        <w:rPr>
          <w:rFonts w:ascii="Times New Roman" w:hAnsi="Times New Roman" w:cs="Times New Roman"/>
          <w:sz w:val="24"/>
          <w:szCs w:val="24"/>
        </w:rPr>
        <w:t>Утверждена Постановлением Совета Министров Республики Беларусь</w:t>
      </w:r>
      <w:bookmarkEnd w:id="4"/>
      <w:r>
        <w:rPr>
          <w:rFonts w:ascii="Times New Roman" w:hAnsi="Times New Roman" w:cs="Times New Roman"/>
          <w:sz w:val="24"/>
          <w:szCs w:val="24"/>
        </w:rPr>
        <w:t xml:space="preserve"> 02.12.2025 № 699 / Национальный правовой Интернет-портал Республики Беларусь [Электронный ресурс]. – Режим доступа: https://pravo.by/document/?guid=12551&amp;p0=C22500699. - Дата доступа: 05.05.2026.</w:t>
      </w:r>
    </w:p>
    <w:p w:rsidR="00536D59" w:rsidRDefault="00AC4DBB" w:rsidP="009420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 Статистика рынка труда [Электронный ресурс] / Министерства труда и социальной защиты Республики Беларусь. - Режим доступа : https://mintrud.gov.by/ru/statstika-rinka-truda-ru. – Дата доступа : 05.05.2026.</w:t>
      </w:r>
    </w:p>
    <w:p w:rsidR="00A81884" w:rsidRDefault="00A81884" w:rsidP="00A81884">
      <w:pPr>
        <w:widowControl w:val="0"/>
        <w:tabs>
          <w:tab w:val="left" w:pos="7200"/>
        </w:tabs>
        <w:spacing w:after="0" w:line="240" w:lineRule="auto"/>
        <w:ind w:firstLine="709"/>
        <w:jc w:val="center"/>
        <w:rPr>
          <w:rFonts w:ascii="Times New Roman" w:hAnsi="Times New Roman" w:cs="Times New Roman"/>
          <w:b/>
          <w:caps/>
          <w:sz w:val="28"/>
          <w:szCs w:val="28"/>
        </w:rPr>
      </w:pPr>
    </w:p>
    <w:p w:rsidR="00536D59" w:rsidRDefault="00AC4DBB" w:rsidP="00A81884">
      <w:pPr>
        <w:widowControl w:val="0"/>
        <w:tabs>
          <w:tab w:val="left" w:pos="7200"/>
        </w:tabs>
        <w:spacing w:after="0" w:line="240" w:lineRule="auto"/>
        <w:ind w:firstLine="709"/>
        <w:jc w:val="center"/>
        <w:rPr>
          <w:rFonts w:ascii="Times New Roman" w:hAnsi="Times New Roman" w:cs="Times New Roman"/>
          <w:b/>
          <w:caps/>
          <w:sz w:val="28"/>
          <w:szCs w:val="28"/>
        </w:rPr>
      </w:pPr>
      <w:r>
        <w:rPr>
          <w:rFonts w:ascii="Times New Roman" w:hAnsi="Times New Roman" w:cs="Times New Roman"/>
          <w:b/>
          <w:caps/>
          <w:sz w:val="28"/>
          <w:szCs w:val="28"/>
        </w:rPr>
        <w:t>ДЕМОГРАФИЧЕСКИЙ ВЫЗОВ:</w:t>
      </w:r>
      <w:r w:rsidR="00A81884">
        <w:rPr>
          <w:rFonts w:ascii="Times New Roman" w:hAnsi="Times New Roman" w:cs="Times New Roman"/>
          <w:b/>
          <w:caps/>
          <w:sz w:val="28"/>
          <w:szCs w:val="28"/>
        </w:rPr>
        <w:t xml:space="preserve"> </w:t>
      </w:r>
      <w:r>
        <w:rPr>
          <w:rFonts w:ascii="Times New Roman" w:hAnsi="Times New Roman" w:cs="Times New Roman"/>
          <w:b/>
          <w:caps/>
          <w:sz w:val="28"/>
          <w:szCs w:val="28"/>
        </w:rPr>
        <w:t>ПОЧЕМУ РЕГИОНЫ БЕЛАРУСИ ТЕРЯЮТ НАСЕЛЕНИЕ</w:t>
      </w:r>
    </w:p>
    <w:p w:rsidR="00536D59" w:rsidRDefault="00536D59" w:rsidP="00A81884">
      <w:pPr>
        <w:widowControl w:val="0"/>
        <w:tabs>
          <w:tab w:val="left" w:pos="7200"/>
        </w:tabs>
        <w:spacing w:after="0" w:line="240" w:lineRule="auto"/>
        <w:ind w:firstLine="709"/>
        <w:jc w:val="center"/>
        <w:rPr>
          <w:rFonts w:ascii="Times New Roman" w:hAnsi="Times New Roman" w:cs="Times New Roman"/>
          <w:i/>
          <w:sz w:val="28"/>
          <w:szCs w:val="28"/>
        </w:rPr>
      </w:pPr>
    </w:p>
    <w:p w:rsidR="00536D59" w:rsidRDefault="00AC4DBB" w:rsidP="00A8188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Михайлова Анна Денисовна</w:t>
      </w:r>
    </w:p>
    <w:p w:rsidR="00536D59" w:rsidRDefault="00AC4DBB" w:rsidP="00A8188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преподаватель-стажер кафедры теории права и социально-политических дисциплин</w:t>
      </w:r>
    </w:p>
    <w:p w:rsidR="00536D59" w:rsidRDefault="00AC4DBB" w:rsidP="00A8188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учреждения образования «Могилевский государственный университет</w:t>
      </w:r>
    </w:p>
    <w:p w:rsidR="00536D59" w:rsidRDefault="00AC4DBB" w:rsidP="00A81884">
      <w:pPr>
        <w:spacing w:after="0" w:line="240" w:lineRule="auto"/>
        <w:ind w:firstLine="709"/>
        <w:jc w:val="center"/>
        <w:rPr>
          <w:rFonts w:ascii="Times New Roman" w:hAnsi="Times New Roman" w:cs="Times New Roman"/>
          <w:sz w:val="28"/>
          <w:szCs w:val="28"/>
          <w:lang w:val="be-BY"/>
        </w:rPr>
      </w:pPr>
      <w:r>
        <w:rPr>
          <w:rFonts w:ascii="Times New Roman" w:hAnsi="Times New Roman" w:cs="Times New Roman"/>
          <w:sz w:val="28"/>
          <w:szCs w:val="28"/>
        </w:rPr>
        <w:t>имени А.А. Кулешова»;</w:t>
      </w:r>
    </w:p>
    <w:p w:rsidR="00536D59" w:rsidRDefault="00AC4DBB" w:rsidP="00A81884">
      <w:pPr>
        <w:widowControl w:val="0"/>
        <w:tabs>
          <w:tab w:val="left" w:pos="7200"/>
        </w:tabs>
        <w:spacing w:after="0" w:line="240" w:lineRule="auto"/>
        <w:ind w:firstLine="709"/>
        <w:jc w:val="center"/>
        <w:rPr>
          <w:rFonts w:ascii="Times New Roman" w:hAnsi="Times New Roman" w:cs="Times New Roman"/>
          <w:spacing w:val="-4"/>
          <w:sz w:val="28"/>
          <w:szCs w:val="28"/>
          <w:lang w:val="be-BY"/>
        </w:rPr>
      </w:pPr>
      <w:r>
        <w:rPr>
          <w:rFonts w:ascii="Times New Roman" w:hAnsi="Times New Roman" w:cs="Times New Roman"/>
          <w:sz w:val="28"/>
          <w:szCs w:val="28"/>
        </w:rPr>
        <w:t>(г. Могилев, Беларусь)</w:t>
      </w:r>
    </w:p>
    <w:p w:rsidR="00536D59" w:rsidRPr="00A81884" w:rsidRDefault="00BC35BD" w:rsidP="00A81884">
      <w:pPr>
        <w:autoSpaceDE w:val="0"/>
        <w:autoSpaceDN w:val="0"/>
        <w:adjustRightInd w:val="0"/>
        <w:spacing w:after="0" w:line="240" w:lineRule="auto"/>
        <w:ind w:firstLine="709"/>
        <w:jc w:val="center"/>
        <w:rPr>
          <w:rFonts w:ascii="Times New Roman" w:hAnsi="Times New Roman" w:cs="Times New Roman"/>
          <w:lang w:val="be-BY"/>
        </w:rPr>
      </w:pPr>
      <w:hyperlink r:id="rId8" w:history="1">
        <w:r w:rsidR="00AC4DBB" w:rsidRPr="00A81884">
          <w:rPr>
            <w:rStyle w:val="a4"/>
            <w:rFonts w:ascii="Times New Roman" w:hAnsi="Times New Roman" w:cs="Times New Roman"/>
            <w:color w:val="auto"/>
            <w:sz w:val="28"/>
            <w:szCs w:val="28"/>
            <w:u w:val="none"/>
            <w:lang w:val="en-US"/>
          </w:rPr>
          <w:t>michailova</w:t>
        </w:r>
        <w:r w:rsidR="00AC4DBB" w:rsidRPr="00A81884">
          <w:rPr>
            <w:rStyle w:val="a4"/>
            <w:rFonts w:ascii="Times New Roman" w:hAnsi="Times New Roman" w:cs="Times New Roman"/>
            <w:color w:val="auto"/>
            <w:sz w:val="28"/>
            <w:szCs w:val="28"/>
            <w:u w:val="none"/>
            <w:lang w:val="be-BY"/>
          </w:rPr>
          <w:t>_</w:t>
        </w:r>
        <w:r w:rsidR="00AC4DBB" w:rsidRPr="00A81884">
          <w:rPr>
            <w:rStyle w:val="a4"/>
            <w:rFonts w:ascii="Times New Roman" w:hAnsi="Times New Roman" w:cs="Times New Roman"/>
            <w:color w:val="auto"/>
            <w:sz w:val="28"/>
            <w:szCs w:val="28"/>
            <w:u w:val="none"/>
            <w:lang w:val="en-US"/>
          </w:rPr>
          <w:t>ad</w:t>
        </w:r>
        <w:r w:rsidR="00AC4DBB" w:rsidRPr="00A81884">
          <w:rPr>
            <w:rStyle w:val="a4"/>
            <w:rFonts w:ascii="Times New Roman" w:hAnsi="Times New Roman" w:cs="Times New Roman"/>
            <w:color w:val="auto"/>
            <w:sz w:val="28"/>
            <w:szCs w:val="28"/>
            <w:u w:val="none"/>
            <w:lang w:val="be-BY"/>
          </w:rPr>
          <w:t>@</w:t>
        </w:r>
        <w:r w:rsidR="00AC4DBB" w:rsidRPr="00A81884">
          <w:rPr>
            <w:rStyle w:val="a4"/>
            <w:rFonts w:ascii="Times New Roman" w:hAnsi="Times New Roman" w:cs="Times New Roman"/>
            <w:color w:val="auto"/>
            <w:sz w:val="28"/>
            <w:szCs w:val="28"/>
            <w:u w:val="none"/>
            <w:lang w:val="en-US"/>
          </w:rPr>
          <w:t>m</w:t>
        </w:r>
        <w:r w:rsidR="00AC4DBB" w:rsidRPr="00A81884">
          <w:rPr>
            <w:rStyle w:val="a4"/>
            <w:rFonts w:ascii="Times New Roman" w:hAnsi="Times New Roman" w:cs="Times New Roman"/>
            <w:color w:val="auto"/>
            <w:sz w:val="28"/>
            <w:szCs w:val="28"/>
            <w:u w:val="none"/>
            <w:lang w:val="be-BY"/>
          </w:rPr>
          <w:t>.</w:t>
        </w:r>
        <w:r w:rsidR="00AC4DBB" w:rsidRPr="00A81884">
          <w:rPr>
            <w:rStyle w:val="a4"/>
            <w:rFonts w:ascii="Times New Roman" w:hAnsi="Times New Roman" w:cs="Times New Roman"/>
            <w:color w:val="auto"/>
            <w:sz w:val="28"/>
            <w:szCs w:val="28"/>
            <w:u w:val="none"/>
            <w:lang w:val="en-US"/>
          </w:rPr>
          <w:t>msu</w:t>
        </w:r>
        <w:r w:rsidR="00AC4DBB" w:rsidRPr="00A81884">
          <w:rPr>
            <w:rStyle w:val="a4"/>
            <w:rFonts w:ascii="Times New Roman" w:hAnsi="Times New Roman" w:cs="Times New Roman"/>
            <w:color w:val="auto"/>
            <w:sz w:val="28"/>
            <w:szCs w:val="28"/>
            <w:u w:val="none"/>
            <w:lang w:val="be-BY"/>
          </w:rPr>
          <w:t>.</w:t>
        </w:r>
        <w:r w:rsidR="00AC4DBB" w:rsidRPr="00A81884">
          <w:rPr>
            <w:rStyle w:val="a4"/>
            <w:rFonts w:ascii="Times New Roman" w:hAnsi="Times New Roman" w:cs="Times New Roman"/>
            <w:color w:val="auto"/>
            <w:sz w:val="28"/>
            <w:szCs w:val="28"/>
            <w:u w:val="none"/>
            <w:lang w:val="en-US"/>
          </w:rPr>
          <w:t>by</w:t>
        </w:r>
      </w:hyperlink>
      <w:r w:rsidR="00AC4DBB" w:rsidRPr="00A81884">
        <w:rPr>
          <w:rFonts w:ascii="Times New Roman" w:hAnsi="Times New Roman" w:cs="Times New Roman"/>
          <w:i/>
          <w:sz w:val="28"/>
          <w:szCs w:val="28"/>
          <w:lang w:val="be-BY"/>
        </w:rPr>
        <w:t xml:space="preserve"> </w:t>
      </w:r>
      <w:r w:rsidR="00AC4DBB" w:rsidRPr="00A81884">
        <w:rPr>
          <w:rFonts w:ascii="Times New Roman" w:hAnsi="Times New Roman" w:cs="Times New Roman"/>
          <w:lang w:val="be-BY"/>
        </w:rPr>
        <w:br/>
      </w: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Аннотация.</w:t>
      </w:r>
      <w:r>
        <w:rPr>
          <w:rFonts w:ascii="Times New Roman" w:hAnsi="Times New Roman" w:cs="Times New Roman"/>
          <w:sz w:val="24"/>
          <w:szCs w:val="24"/>
        </w:rPr>
        <w:t xml:space="preserve"> В статье анализируется феномен региональной депопуляции в Республике Беларусь, имеющий характер затяжного демографического кризиса. На основе свежих статистических данных за 2024–2026 гг. выявлены масштабы и структурные компоненты убыли: естественная смертность, сверхнизкая рождаемость и центростремительная миграция. Рассмотрены экономические, социальные и институциональные причины демографических потерь.</w:t>
      </w:r>
    </w:p>
    <w:p w:rsidR="00536D59" w:rsidRDefault="00AC4DBB" w:rsidP="00A81884">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b/>
          <w:sz w:val="24"/>
          <w:szCs w:val="24"/>
        </w:rPr>
        <w:t>Ключевые слова</w:t>
      </w:r>
      <w:r w:rsidR="00AB4FD4">
        <w:rPr>
          <w:rFonts w:ascii="Times New Roman" w:hAnsi="Times New Roman" w:cs="Times New Roman"/>
          <w:b/>
          <w:sz w:val="24"/>
          <w:szCs w:val="24"/>
        </w:rPr>
        <w:t>.</w:t>
      </w:r>
      <w:r>
        <w:rPr>
          <w:rFonts w:ascii="Times New Roman" w:hAnsi="Times New Roman" w:cs="Times New Roman"/>
          <w:sz w:val="24"/>
          <w:szCs w:val="24"/>
        </w:rPr>
        <w:t xml:space="preserve"> Беларусь, депопуляция, регионы, рождаемость, смертность, внутренняя миграция, региональная политика, сельское население.</w:t>
      </w:r>
    </w:p>
    <w:p w:rsidR="00536D59" w:rsidRDefault="00536D59" w:rsidP="00A81884">
      <w:pPr>
        <w:autoSpaceDE w:val="0"/>
        <w:autoSpaceDN w:val="0"/>
        <w:adjustRightInd w:val="0"/>
        <w:spacing w:after="0" w:line="240" w:lineRule="auto"/>
        <w:ind w:firstLine="709"/>
        <w:jc w:val="both"/>
        <w:rPr>
          <w:rFonts w:ascii="Times New Roman" w:hAnsi="Times New Roman" w:cs="Times New Roman"/>
          <w:sz w:val="28"/>
          <w:szCs w:val="28"/>
        </w:rPr>
      </w:pP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наиболее острых проблем устойчивого развития регионов Республики Беларусь остаётся углубляющийся дисбаланс между столицей и периферией − как в экономическом, так и в демографическом измерении. </w:t>
      </w: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Диспропорции между столицей и провинциями нарастают. На начало 2025 года население по областям распределялось так [2]:</w:t>
      </w:r>
    </w:p>
    <w:p w:rsidR="00536D59" w:rsidRDefault="00AC4DBB" w:rsidP="00A81884">
      <w:pPr>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Минск — 1 996 730 чел.;</w:t>
      </w:r>
    </w:p>
    <w:p w:rsidR="00536D59" w:rsidRDefault="00AC4DBB" w:rsidP="00A81884">
      <w:pPr>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Минская область — 1 456 357 чел.;</w:t>
      </w:r>
    </w:p>
    <w:p w:rsidR="00536D59" w:rsidRDefault="00AC4DBB" w:rsidP="00A81884">
      <w:pPr>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Брестская область — 1 299 912 чел.;</w:t>
      </w:r>
    </w:p>
    <w:p w:rsidR="00536D59" w:rsidRDefault="00AC4DBB" w:rsidP="00A81884">
      <w:pPr>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Гомельская область — 1 327 973 чел.;</w:t>
      </w:r>
    </w:p>
    <w:p w:rsidR="00536D59" w:rsidRDefault="00AC4DBB" w:rsidP="00A81884">
      <w:pPr>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Гродненская область — 984 880 чел.;</w:t>
      </w:r>
    </w:p>
    <w:p w:rsidR="00536D59" w:rsidRDefault="00AC4DBB" w:rsidP="00A81884">
      <w:pPr>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Витебская область — 1 072 063 чел.;</w:t>
      </w:r>
    </w:p>
    <w:p w:rsidR="00536D59" w:rsidRDefault="00AC4DBB" w:rsidP="00A81884">
      <w:pPr>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Могилевская область — 981 174 чел.</w:t>
      </w: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Экономическое доминирование столицы носит подавляющий характер. Согласно официальным данным, Минск и Минская область совместно обеспечивают почти половину (около 50%) всего ВВП страны, тогда как на долю Могилёвской области приходится лишь 7,9%. Разрыв в уровне доходов между столицей и глубинкой остаётся колоссальным: именно отсутствие рабочих мест с достойной оплатой труда признаётся жителями регионов «темой номер один».</w:t>
      </w: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 2020 года население Беларуси ежегодно сокращается в среднем на 50 тысяч человек, а в 2021-м потери достигли 94 тысяч. По итогам 2025 года убыль составила 53 200 жителей − это сопоставимо с населением Слонима. В 2025 году в Беларуси родилось 54 257 детей. Общий коэффициент рождаемости в городской местности составил 42 403 рождения, в сельской — 11 854. За 2025 год в Беларуси умерло на 62 тыс. человек больше, чем родилось. Наибольшее число смертей зафиксировано в Минской области (19 468) и в столице (18 881), наименьшее — в Гродненской области (13 457). К началу 2026 года в республике насчитывалось 9 056 080 человек. При этом демографическое сжатие крайне неравномерно: Минск, длительное время притягивавший внутренних мигрантов, в 2025-м впервые ушёл в минус (−1,6 тыс.), тогда как областные центры Гомель, Витебск, Бобруйск и Борисов теряли ещё быстрее [1]. </w:t>
      </w: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Главный компонент потерь − рекордно низкая рождаемость. В 2025 году в стране родилось всего 54 257 детей, что стало абсолютным минимумом послевоенного периода. Второй компонент − высокая смертность. Только за 2025 год умерло на 62 тысячи человек больше, чем родилось. Наибольшее число смертей зафиксировано в Минской области и столице, наименьшее − в Гродненской, однако естественная убыль затронула все регионы без исключения [1].</w:t>
      </w: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Государство пытается ответить на вызов масштабными программами. В декабре 2025 года утверждена программа «Развитие демографического потенциала» на 2026-2030 годы с бюджетом 1,6 млрд рублей. Её целевой показатель − повышение общего коэффициента рождаемости до 7 промилле к 2030 году [3]. </w:t>
      </w: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С 2022 года реализуется инвестиционная программа «Один район — один проект», призванная создать в каждом районе новое производство и тем самым затормозить отток населения. Президент А. Г.Лукашенко неоднократно заявлял о необходимости «раз и навсегда прекратить отток населения из регионов в Минск и областные центры за счет развития райцентров и агрогородков» </w:t>
      </w:r>
      <w:r>
        <w:rPr>
          <w:rFonts w:ascii="Times New Roman" w:hAnsi="Times New Roman" w:cs="Times New Roman"/>
          <w:sz w:val="28"/>
          <w:szCs w:val="28"/>
        </w:rPr>
        <w:t xml:space="preserve">[4]. </w:t>
      </w: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пока обе меры не переломили тренд. </w:t>
      </w: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32"/>
          <w:szCs w:val="28"/>
        </w:rPr>
      </w:pPr>
      <w:r>
        <w:rPr>
          <w:rFonts w:ascii="Times New Roman" w:hAnsi="Times New Roman" w:cs="Times New Roman"/>
          <w:sz w:val="28"/>
        </w:rPr>
        <w:t>Основной структурной причиной региональной депопуляции является сверхконцентрация экономических, образовательных и административных ресурсов в Минске. Столица аккумулирует значительную часть инвестиций, высокооплачиваемых рабочих мест, вузов и качественной медицины. Как отмечают независимые эксперты, «когда все деньги и решения остаются в Минске, города и регионы обречены на стагнацию». Региональные центры и малые города лишены реального местного самоуправления, финансовой автономии и, как следствие, способности самостоятельно формировать привлекательную среду для жизни.</w:t>
      </w: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государственном уровне декларируется необходимость развития райцентров и агрогородков, а также строительства арендного жилья именно в регионах, а не в столице. Однако эксперты отмечают, что без системного преодоления разрыва в качестве жизни, доступности образования и медицинских услуг − то есть без комплексного подхода к устойчивому развитию, сочетающему экономический, социальный и экологический компоненты, − одними лишь административными мерами переломить сложившийся тренд вряд ли удастся [4].</w:t>
      </w:r>
    </w:p>
    <w:p w:rsidR="00536D59" w:rsidRDefault="00AC4DBB" w:rsidP="00A818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региональная депопуляция Беларуси порождена тремя взаимосвязанными драйверами: естественной убылью из-за сверхнизкой рождаемости и высокой смертности; внутренней центростремительной миграцией, обескровливающей малые города и село; и институциональной сверхцентрализацией, лишающей провинции возможностей для роста. Без реальной децентрализации власти и финансов, создания точек экономического роста за пределами Минской агломерации и кардинального улучшения среды в малых городах демографическое сжатие периферии, скорее всего, продолжится.</w:t>
      </w:r>
    </w:p>
    <w:p w:rsidR="00536D59" w:rsidRPr="00AB4FD4" w:rsidRDefault="00AC4DBB" w:rsidP="00A81884">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br/>
      </w:r>
      <w:r w:rsidRPr="00AB4FD4">
        <w:rPr>
          <w:rFonts w:ascii="Times New Roman" w:hAnsi="Times New Roman" w:cs="Times New Roman"/>
          <w:b/>
          <w:sz w:val="28"/>
          <w:szCs w:val="28"/>
        </w:rPr>
        <w:t>Список литературы</w:t>
      </w:r>
    </w:p>
    <w:p w:rsidR="00536D59" w:rsidRPr="00A81884" w:rsidRDefault="00AC4DBB" w:rsidP="00A81884">
      <w:pPr>
        <w:numPr>
          <w:ilvl w:val="0"/>
          <w:numId w:val="5"/>
        </w:numPr>
        <w:spacing w:after="0" w:line="240" w:lineRule="auto"/>
        <w:ind w:left="0" w:firstLine="709"/>
        <w:jc w:val="both"/>
        <w:rPr>
          <w:rFonts w:ascii="Times New Roman" w:hAnsi="Times New Roman" w:cs="Times New Roman"/>
          <w:sz w:val="24"/>
          <w:szCs w:val="24"/>
        </w:rPr>
      </w:pPr>
      <w:r w:rsidRPr="00A81884">
        <w:rPr>
          <w:rFonts w:ascii="Times New Roman" w:hAnsi="Times New Roman" w:cs="Times New Roman"/>
          <w:sz w:val="24"/>
          <w:szCs w:val="24"/>
        </w:rPr>
        <w:t>В Беларуси за 2025 год умерло на 62 тысячи человек больше, чем родилось [Электронный ресурс] // Reform.news. – Режим доступа: https://reform.news/v-belarusi-za-2025-godu-umerlo-na-62-tysjachi-chelovek-bolshe-chem-rodilos (дата доступа: 05.05.2026).</w:t>
      </w:r>
    </w:p>
    <w:p w:rsidR="00536D59" w:rsidRPr="00A81884" w:rsidRDefault="00AC4DBB" w:rsidP="00A81884">
      <w:pPr>
        <w:numPr>
          <w:ilvl w:val="0"/>
          <w:numId w:val="5"/>
        </w:numPr>
        <w:spacing w:after="0" w:line="240" w:lineRule="auto"/>
        <w:ind w:left="0" w:firstLine="709"/>
        <w:jc w:val="both"/>
        <w:rPr>
          <w:rFonts w:ascii="Times New Roman" w:hAnsi="Times New Roman" w:cs="Times New Roman"/>
          <w:sz w:val="24"/>
          <w:szCs w:val="24"/>
        </w:rPr>
      </w:pPr>
      <w:r w:rsidRPr="00A81884">
        <w:rPr>
          <w:rFonts w:ascii="Times New Roman" w:hAnsi="Times New Roman" w:cs="Times New Roman"/>
          <w:sz w:val="24"/>
          <w:szCs w:val="24"/>
        </w:rPr>
        <w:t>Национальный статистический комитет Республики Беларусь. Численность населения на 1 января 2026 г. и среднегодовая численность населения за 2025 год по Республике Беларусь в разрезе областей, районов, городов, поселков городского типа : стат. бюл. / Нац. стат. ком. Респ. Беларусь. – Минск : Белстат, 2026. – 1 электрон. опт. диск (CD-ROM).</w:t>
      </w:r>
    </w:p>
    <w:p w:rsidR="00536D59" w:rsidRPr="00A81884" w:rsidRDefault="00AC4DBB" w:rsidP="00A81884">
      <w:pPr>
        <w:numPr>
          <w:ilvl w:val="0"/>
          <w:numId w:val="5"/>
        </w:numPr>
        <w:spacing w:after="0" w:line="240" w:lineRule="auto"/>
        <w:ind w:left="0" w:firstLine="709"/>
        <w:jc w:val="both"/>
        <w:rPr>
          <w:rFonts w:ascii="Times New Roman" w:hAnsi="Times New Roman" w:cs="Times New Roman"/>
          <w:sz w:val="24"/>
          <w:szCs w:val="24"/>
        </w:rPr>
      </w:pPr>
      <w:r w:rsidRPr="00A81884">
        <w:rPr>
          <w:rFonts w:ascii="Times New Roman" w:hAnsi="Times New Roman" w:cs="Times New Roman"/>
          <w:sz w:val="24"/>
          <w:szCs w:val="24"/>
        </w:rPr>
        <w:t>Утверждена госпрограмма «Развитие демографического потенциала» на 2026–2030 годы [Электронный ресурс] // Government.gov.by. – Режим доступа: https://www.government.gov.by/index.php/news/utverzhdena-gosprogra mma-razvitie-demograficheskogo-potenciala-na-2026-2030-gody (дата доступа: 05.05.2026).</w:t>
      </w:r>
    </w:p>
    <w:p w:rsidR="00536D59" w:rsidRPr="00A81884" w:rsidRDefault="00AC4DBB" w:rsidP="00A81884">
      <w:pPr>
        <w:numPr>
          <w:ilvl w:val="0"/>
          <w:numId w:val="5"/>
        </w:numPr>
        <w:spacing w:after="0" w:line="240" w:lineRule="auto"/>
        <w:ind w:left="0" w:firstLine="709"/>
        <w:jc w:val="both"/>
        <w:rPr>
          <w:rFonts w:ascii="Times New Roman" w:hAnsi="Times New Roman" w:cs="Times New Roman"/>
          <w:sz w:val="24"/>
          <w:szCs w:val="24"/>
        </w:rPr>
      </w:pPr>
      <w:r w:rsidRPr="00A81884">
        <w:rPr>
          <w:rFonts w:ascii="Times New Roman" w:hAnsi="Times New Roman" w:cs="Times New Roman"/>
          <w:sz w:val="24"/>
          <w:szCs w:val="24"/>
        </w:rPr>
        <w:t>Сельское население Беларуси за 20 лет сократилось почти на треть [Электронный ресурс] // Neg.by. – Режим доступа: https://neg.by/novosti/otkrytj/ selskoe-naselenie-belarusi-za-20-let-sokratilos-pochti-na-tret/ (дата доступа: 05.05.2026).</w:t>
      </w:r>
    </w:p>
    <w:p w:rsidR="00312D80" w:rsidRDefault="00312D80" w:rsidP="00312D80">
      <w:pPr>
        <w:spacing w:after="0" w:line="240" w:lineRule="auto"/>
        <w:rPr>
          <w:rFonts w:ascii="Times New Roman" w:hAnsi="Times New Roman" w:cs="Times New Roman"/>
          <w:caps/>
          <w:sz w:val="28"/>
          <w:szCs w:val="28"/>
        </w:rPr>
      </w:pPr>
    </w:p>
    <w:p w:rsidR="00536D59" w:rsidRDefault="00AC4DBB" w:rsidP="00312D80">
      <w:pPr>
        <w:spacing w:after="0" w:line="240" w:lineRule="auto"/>
        <w:ind w:firstLine="709"/>
        <w:rPr>
          <w:rFonts w:ascii="Times New Roman" w:hAnsi="Times New Roman" w:cs="Times New Roman"/>
          <w:caps/>
          <w:sz w:val="28"/>
          <w:szCs w:val="28"/>
        </w:rPr>
      </w:pPr>
      <w:r>
        <w:rPr>
          <w:rFonts w:ascii="Times New Roman" w:hAnsi="Times New Roman" w:cs="Times New Roman"/>
          <w:caps/>
          <w:sz w:val="28"/>
          <w:szCs w:val="28"/>
        </w:rPr>
        <w:t>УДК 342.951</w:t>
      </w:r>
    </w:p>
    <w:p w:rsidR="00536D59" w:rsidRDefault="00AC4DBB" w:rsidP="00312D80">
      <w:pPr>
        <w:spacing w:after="0" w:line="240" w:lineRule="auto"/>
        <w:ind w:firstLine="709"/>
        <w:contextualSpacing/>
        <w:jc w:val="center"/>
        <w:rPr>
          <w:rFonts w:ascii="Times New Roman" w:hAnsi="Times New Roman" w:cs="Times New Roman"/>
          <w:b/>
          <w:caps/>
          <w:sz w:val="28"/>
          <w:szCs w:val="28"/>
        </w:rPr>
      </w:pPr>
      <w:r>
        <w:rPr>
          <w:rFonts w:ascii="Times New Roman" w:hAnsi="Times New Roman" w:cs="Times New Roman"/>
          <w:b/>
          <w:caps/>
          <w:sz w:val="28"/>
          <w:szCs w:val="28"/>
        </w:rPr>
        <w:t>СОВЕРШЕНСТВОВАНИЕ ПОДХОДОВ К АКАДЕМИЧЕСКОЙ МОБИЛЬНОСТИ В РЕСПУБЛИКЕ БЕЛАРУСЬ</w:t>
      </w:r>
    </w:p>
    <w:p w:rsidR="00536D59" w:rsidRDefault="00536D59" w:rsidP="00312D80">
      <w:pPr>
        <w:spacing w:after="0" w:line="240" w:lineRule="auto"/>
        <w:ind w:firstLine="709"/>
        <w:contextualSpacing/>
        <w:jc w:val="center"/>
        <w:rPr>
          <w:rFonts w:ascii="Times New Roman" w:hAnsi="Times New Roman" w:cs="Times New Roman"/>
          <w:b/>
          <w:caps/>
          <w:sz w:val="28"/>
          <w:szCs w:val="28"/>
        </w:rPr>
      </w:pPr>
    </w:p>
    <w:p w:rsidR="00536D59" w:rsidRDefault="00AC4DBB" w:rsidP="00312D80">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 xml:space="preserve">Рыжанков Арнольд Юрьевич, </w:t>
      </w:r>
      <w:r>
        <w:rPr>
          <w:rFonts w:ascii="Times New Roman" w:hAnsi="Times New Roman" w:cs="Times New Roman"/>
          <w:b/>
          <w:sz w:val="28"/>
          <w:szCs w:val="28"/>
        </w:rPr>
        <w:br/>
      </w:r>
      <w:r w:rsidRPr="00312D80">
        <w:rPr>
          <w:rFonts w:ascii="Times New Roman" w:hAnsi="Times New Roman" w:cs="Times New Roman"/>
          <w:sz w:val="28"/>
          <w:szCs w:val="28"/>
        </w:rPr>
        <w:t xml:space="preserve">старший преподаватель кафедры юриспруденции МГУ имени А.А. </w:t>
      </w:r>
      <w:r>
        <w:rPr>
          <w:rFonts w:ascii="Times New Roman" w:hAnsi="Times New Roman" w:cs="Times New Roman"/>
          <w:sz w:val="28"/>
          <w:szCs w:val="28"/>
        </w:rPr>
        <w:t>Кулешова</w:t>
      </w:r>
    </w:p>
    <w:p w:rsidR="00536D59" w:rsidRDefault="00AC4DBB" w:rsidP="00312D80">
      <w:pPr>
        <w:spacing w:after="0" w:line="240" w:lineRule="auto"/>
        <w:ind w:firstLine="709"/>
        <w:jc w:val="center"/>
        <w:rPr>
          <w:rFonts w:ascii="Times New Roman" w:hAnsi="Times New Roman" w:cs="Times New Roman"/>
          <w:sz w:val="28"/>
        </w:rPr>
      </w:pPr>
      <w:r>
        <w:rPr>
          <w:rFonts w:ascii="Times New Roman" w:hAnsi="Times New Roman" w:cs="Times New Roman"/>
          <w:sz w:val="28"/>
        </w:rPr>
        <w:t>(г. Могилев, Беларусь)</w:t>
      </w:r>
    </w:p>
    <w:p w:rsidR="00536D59" w:rsidRDefault="00AC4DBB" w:rsidP="00312D80">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lang w:val="en-US"/>
        </w:rPr>
        <w:t>ryzhankov</w:t>
      </w:r>
      <w:r>
        <w:rPr>
          <w:rFonts w:ascii="Times New Roman" w:hAnsi="Times New Roman" w:cs="Times New Roman"/>
          <w:sz w:val="28"/>
          <w:szCs w:val="28"/>
        </w:rPr>
        <w:t>@</w:t>
      </w:r>
      <w:r>
        <w:rPr>
          <w:rFonts w:ascii="Times New Roman" w:hAnsi="Times New Roman" w:cs="Times New Roman"/>
          <w:sz w:val="28"/>
          <w:szCs w:val="28"/>
          <w:lang w:val="en-US"/>
        </w:rPr>
        <w:t>msu</w:t>
      </w:r>
      <w:r>
        <w:rPr>
          <w:rFonts w:ascii="Times New Roman" w:hAnsi="Times New Roman" w:cs="Times New Roman"/>
          <w:sz w:val="28"/>
          <w:szCs w:val="28"/>
        </w:rPr>
        <w:t>.</w:t>
      </w:r>
      <w:r>
        <w:rPr>
          <w:rFonts w:ascii="Times New Roman" w:hAnsi="Times New Roman" w:cs="Times New Roman"/>
          <w:sz w:val="28"/>
          <w:szCs w:val="28"/>
          <w:lang w:val="en-US"/>
        </w:rPr>
        <w:t>by</w:t>
      </w:r>
      <w:r>
        <w:rPr>
          <w:rFonts w:ascii="Times New Roman" w:hAnsi="Times New Roman" w:cs="Times New Roman"/>
          <w:sz w:val="28"/>
          <w:szCs w:val="28"/>
        </w:rPr>
        <w:t xml:space="preserve"> </w:t>
      </w:r>
    </w:p>
    <w:p w:rsidR="00536D59" w:rsidRDefault="00536D59" w:rsidP="00312D80">
      <w:pPr>
        <w:spacing w:after="0" w:line="240" w:lineRule="auto"/>
        <w:ind w:firstLine="709"/>
        <w:rPr>
          <w:rFonts w:ascii="Times New Roman" w:hAnsi="Times New Roman" w:cs="Times New Roman"/>
        </w:rPr>
      </w:pPr>
    </w:p>
    <w:p w:rsidR="00536D59" w:rsidRPr="00312D80" w:rsidRDefault="00AC4DBB" w:rsidP="00312D80">
      <w:pPr>
        <w:spacing w:after="0" w:line="240" w:lineRule="auto"/>
        <w:ind w:firstLine="709"/>
        <w:jc w:val="both"/>
        <w:rPr>
          <w:rFonts w:ascii="Times New Roman" w:hAnsi="Times New Roman" w:cs="Times New Roman"/>
          <w:iCs/>
          <w:sz w:val="24"/>
          <w:szCs w:val="24"/>
        </w:rPr>
      </w:pPr>
      <w:r w:rsidRPr="00312D80">
        <w:rPr>
          <w:rFonts w:ascii="Times New Roman" w:hAnsi="Times New Roman" w:cs="Times New Roman"/>
          <w:b/>
          <w:iCs/>
          <w:sz w:val="24"/>
          <w:szCs w:val="24"/>
        </w:rPr>
        <w:t>Аннотация.</w:t>
      </w:r>
      <w:r w:rsidRPr="00312D80">
        <w:rPr>
          <w:rFonts w:ascii="Times New Roman" w:hAnsi="Times New Roman" w:cs="Times New Roman"/>
          <w:iCs/>
          <w:sz w:val="24"/>
          <w:szCs w:val="24"/>
        </w:rPr>
        <w:t xml:space="preserve"> В статье анализируются проблемные вопросы академической мобильности с учетом новых подходов к регулированию процесса направления белорусских студентов для получения образования в иностранных организациях в рамках международных договоров Республики Беларусь. Автор по результатам исследования приходит к выводу о наличии ряда проблемных аспектов правовой регламентации этого процесса, в том числе неурегулированность механизма отбора кандидатов, ограниченность круга действия правовых новаций и др. </w:t>
      </w:r>
    </w:p>
    <w:p w:rsidR="00536D59" w:rsidRPr="00312D80" w:rsidRDefault="00AC4DBB" w:rsidP="00312D80">
      <w:pPr>
        <w:spacing w:after="0" w:line="240" w:lineRule="auto"/>
        <w:ind w:firstLine="709"/>
        <w:jc w:val="both"/>
        <w:rPr>
          <w:rFonts w:ascii="Times New Roman" w:hAnsi="Times New Roman" w:cs="Times New Roman"/>
          <w:iCs/>
          <w:sz w:val="24"/>
          <w:szCs w:val="24"/>
          <w:lang w:val="en-US"/>
        </w:rPr>
      </w:pPr>
      <w:r w:rsidRPr="00312D80">
        <w:rPr>
          <w:rFonts w:ascii="Times New Roman" w:hAnsi="Times New Roman" w:cs="Times New Roman"/>
          <w:iCs/>
          <w:sz w:val="24"/>
          <w:szCs w:val="24"/>
          <w:lang w:val="en-US"/>
        </w:rPr>
        <w:t>Abstract. The article analyzes the problematic issues of academic mobility, taking into account new approaches to regulating the process of sending Belarusian students to study at foreign institutions within the framework of international treaties to which the Republic of Belarus is a party. Based on the research, the author concludes that there are a number of enforcement issues, including the unregulated candidate selection mechanism, the limited scope of legal innovations, and others problems.</w:t>
      </w:r>
    </w:p>
    <w:p w:rsidR="00536D59" w:rsidRPr="00312D80" w:rsidRDefault="00AC4DBB" w:rsidP="00312D80">
      <w:pPr>
        <w:spacing w:after="0" w:line="240" w:lineRule="auto"/>
        <w:ind w:firstLine="709"/>
        <w:jc w:val="both"/>
        <w:rPr>
          <w:rFonts w:ascii="Times New Roman" w:hAnsi="Times New Roman" w:cs="Times New Roman"/>
          <w:iCs/>
          <w:sz w:val="24"/>
          <w:szCs w:val="24"/>
        </w:rPr>
      </w:pPr>
      <w:r w:rsidRPr="00312D80">
        <w:rPr>
          <w:rFonts w:ascii="Times New Roman" w:hAnsi="Times New Roman" w:cs="Times New Roman"/>
          <w:b/>
          <w:iCs/>
          <w:sz w:val="24"/>
          <w:szCs w:val="24"/>
        </w:rPr>
        <w:t>Ключевые слова</w:t>
      </w:r>
      <w:r w:rsidR="00AB4FD4">
        <w:rPr>
          <w:rFonts w:ascii="Times New Roman" w:hAnsi="Times New Roman" w:cs="Times New Roman"/>
          <w:b/>
          <w:iCs/>
          <w:sz w:val="24"/>
          <w:szCs w:val="24"/>
        </w:rPr>
        <w:t xml:space="preserve">. </w:t>
      </w:r>
      <w:r w:rsidR="00AB4FD4" w:rsidRPr="00AB4FD4">
        <w:rPr>
          <w:rFonts w:ascii="Times New Roman" w:hAnsi="Times New Roman" w:cs="Times New Roman"/>
          <w:iCs/>
          <w:sz w:val="24"/>
          <w:szCs w:val="24"/>
        </w:rPr>
        <w:t>О</w:t>
      </w:r>
      <w:r w:rsidRPr="00312D80">
        <w:rPr>
          <w:rFonts w:ascii="Times New Roman" w:hAnsi="Times New Roman" w:cs="Times New Roman"/>
          <w:iCs/>
          <w:sz w:val="24"/>
          <w:szCs w:val="24"/>
        </w:rPr>
        <w:t>бщее высшее образования, академическая мобильность, обучение в иностранных учреждениях образования.</w:t>
      </w:r>
    </w:p>
    <w:p w:rsidR="00536D59" w:rsidRPr="00312D80" w:rsidRDefault="00AC4DBB" w:rsidP="00312D80">
      <w:pPr>
        <w:spacing w:after="0" w:line="240" w:lineRule="auto"/>
        <w:ind w:firstLine="709"/>
        <w:jc w:val="both"/>
        <w:rPr>
          <w:rFonts w:ascii="Times New Roman" w:hAnsi="Times New Roman" w:cs="Times New Roman"/>
          <w:iCs/>
          <w:sz w:val="24"/>
          <w:szCs w:val="24"/>
          <w:lang w:val="en-US"/>
        </w:rPr>
      </w:pPr>
      <w:r w:rsidRPr="00312D80">
        <w:rPr>
          <w:rFonts w:ascii="Times New Roman" w:hAnsi="Times New Roman" w:cs="Times New Roman"/>
          <w:iCs/>
          <w:sz w:val="24"/>
          <w:szCs w:val="24"/>
          <w:lang w:val="en-US"/>
        </w:rPr>
        <w:t>Keywords: general higher education, academic mobility, study in foreign educational institutions.</w:t>
      </w:r>
    </w:p>
    <w:p w:rsidR="00536D59" w:rsidRPr="000F1336" w:rsidRDefault="00536D59" w:rsidP="00312D80">
      <w:pPr>
        <w:spacing w:after="0" w:line="240" w:lineRule="auto"/>
        <w:ind w:firstLine="709"/>
        <w:jc w:val="both"/>
        <w:rPr>
          <w:rFonts w:ascii="Times New Roman" w:hAnsi="Times New Roman" w:cs="Times New Roman"/>
          <w:spacing w:val="-2"/>
          <w:sz w:val="28"/>
          <w:szCs w:val="28"/>
          <w:lang w:val="en-US"/>
        </w:rPr>
      </w:pP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Академическая мобильность является одним из столпов современного образования, имея важное значение как для самого обучающегося, так и для государства в целом. Академическая мобильность как государственный образовательный механизм направлена на повышение качества образования, получение уникальных знаний, межкультурного опыта и на создание научных и профессиональных контактов. Обучающемуся же она, прежде всего, позволяет освоить новые дисциплины, улучшить языковые навыки и повысить свою конкурентоспособность на рынке труда.</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На сегодняшний день Республика Беларусь активно участвует в различных программах академической мобильности как долгосрочного, так и краткосрочного характера. Однако соотношение экспорта и импорта образовательных услуг между Республикой Беларусь и иностранными государствами не всегда одинаковое.</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По данным Национального статистического комитета в 2024/2025 учеб. году в Республике Беларусь обучалось 21043 иностранных студента, больше всего из Китая, Туркменистана и Шри-ланки [1]. Согласно последней статистике ЮНЕСКО, 22 412 белорусских студентов обучались за рубежом в 2018 г. Однако если сравнить соотношение по конкретным странам, оно будет разниться [2]. Например, в 2025 году в белорусских вузах обучалось около 11 тыс. китайских студентов. При этом лишь около 1,2 тыс. белорусских студентов проходили обучение в Китае [3].</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На сегодняшний день между Республикой Беларусь и зарубежными странами уже заключено 119 международных договоров в сфере образования. Осуществляется партнерство белорусских и иностранных учреждений образования в рамках более 6 тыс. прямых договоров [4]. Тем же БГУ заключено</w:t>
      </w:r>
      <w:r>
        <w:rPr>
          <w:rFonts w:ascii="Times New Roman" w:hAnsi="Times New Roman" w:cs="Times New Roman"/>
          <w:spacing w:val="-2"/>
          <w:sz w:val="28"/>
          <w:szCs w:val="28"/>
          <w:shd w:val="clear" w:color="auto" w:fill="FFFFFF"/>
        </w:rPr>
        <w:t xml:space="preserve"> более 450 </w:t>
      </w:r>
      <w:r>
        <w:rPr>
          <w:rFonts w:ascii="Times New Roman" w:hAnsi="Times New Roman" w:cs="Times New Roman"/>
          <w:spacing w:val="-2"/>
          <w:sz w:val="28"/>
          <w:szCs w:val="28"/>
        </w:rPr>
        <w:t>договоров о сотрудничестве</w:t>
      </w:r>
      <w:r>
        <w:rPr>
          <w:rFonts w:ascii="Times New Roman" w:hAnsi="Times New Roman" w:cs="Times New Roman"/>
          <w:spacing w:val="-2"/>
          <w:sz w:val="28"/>
          <w:szCs w:val="28"/>
          <w:shd w:val="clear" w:color="auto" w:fill="FFFFFF"/>
        </w:rPr>
        <w:t xml:space="preserve"> с Казахстаном, Кыргызстаном, Таджикистаном, Туркменистаном, Китаем и Вьетнамом.</w:t>
      </w:r>
      <w:r>
        <w:rPr>
          <w:rFonts w:ascii="Times New Roman" w:hAnsi="Times New Roman" w:cs="Times New Roman"/>
          <w:spacing w:val="-2"/>
          <w:sz w:val="28"/>
          <w:szCs w:val="28"/>
          <w:shd w:val="clear" w:color="auto" w:fill="FFFFFF"/>
        </w:rPr>
        <w:br/>
      </w:r>
      <w:r>
        <w:rPr>
          <w:rFonts w:ascii="Times New Roman" w:hAnsi="Times New Roman" w:cs="Times New Roman"/>
          <w:spacing w:val="-2"/>
          <w:sz w:val="28"/>
          <w:szCs w:val="28"/>
          <w:shd w:val="clear" w:color="auto" w:fill="FFFFFF"/>
        </w:rPr>
        <w:lastRenderedPageBreak/>
        <w:t xml:space="preserve">В рамках договоров БГУ программы обмена студентами реализуются с учреждениями высшего образования России, Казахстана, Китая, Кореи и Японии [5]. Однако конкретных требований по обмену студентами в них не прописано, отбор осуществлялся самим УВО. </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На обеспечение единообразия и совершенствование подходов к организации академической мобильности со стороны Республики Беларусь направлено принятие Постановления Министерства Образования Республики Беларусь от 8 декабря 2025 г. № 209 «О порядке отбора кандидатов, направляемых для получения образования в иностранных организациях в рамках международных договоров Республики Беларусь» (вступившее в силу 13.01.2026), которым утверждено соответствующее Положение [6]. В этом документе определены условия и порядок отбора белорусских школьников и студентов для получения образования в иностранных вузах в рамках международных программ.</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Прежде всего, определяется в отношении кого будет действовать указанное Положение. Оно устанавливает порядок отбора граждан Республики Беларусь, направляемых для получения образования в иностранных организациях. В рамках него будут отбираться и направляться школьники, закончившие 11 классов, для получения образования в рамках бакалавриата, а также студенты, обучающиеся в учреждениях высшего образования Республики Беларусь по образовательным программам общего высшего и (или) специального высшего образования, для прохождения стажировки (п. 2 Положения). Под стажировкой при этом понимается получение и закрепление новых навыков и знаний по осваиваемой гражданином в учреждении высшего образования Республики Беларусь специальности в иностранной организации [6].</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Однако, исходя из п. 3 ст. 198 Кодекса об образовании Республики Беларусь, это Положение не охватывает порядок отбора и направления магистрантов, получающих углубленное высшее образование, что, полагаем, существенно ограничивает круг лиц, заинтересованных в прохождении образовательных программ за рубежом (в 2024 году в Республике Беларусь обучалось 10 385 магистрантов). </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Отбор будет производиться самим Министерством образования на основании предложений кандидатур, представляемых вузами и отделами образования областных (г. Минска) исполкомов, вместе с определенным в положении перечнем документов по каждому обучающемуся (п. 3, п. 5 Положения). Для участия в отборе гражданин, в соответствии п. 4 Положения, должен соответствовать следующим требованиям:</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обучение в учреждении образования Республики Беларусь, реализующем программы общего среднего, общего высшего или специального высшего образования на момент подачи заявки;</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владение иностранным языком на уровне, достаточном для освоения образовательной программы;</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средний балл текущей аттестации – не ниже 8,0 по десятибалльной шкале;</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наличие освобождения от воинской обязанности на период получения образования в иностранной организации;</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иные условия, связанные со спецификой получения образования в иностранных организациях (в том числе требования, выдвигаемые иностранным учреждением образования к кандидатам) [6].</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При этом в ходе отбора из круга предложенных кандидатов будет учитываться: успеваемость кандидата в целом и по профильным предметам; уровень владения иностранным языком; наличие наград за участие в конкурсах, олимпиадах по профилю получения образования в иностранных организациях; отнесение к лауреатам специальных фондов; соответствие требованиям принимающей стороны (п. 6 Положения) [6]. </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Соответственно, критерии выдвижения и отбора кандидатов способствуют реализации требований справедливости и объективности при формировании круга лиц, направляемых для получения образования в иностранных организациях, с тем чтобы наиболее способные школьники и студенты смогли достойно представить Республику Беларусь за рубежом.</w:t>
      </w:r>
    </w:p>
    <w:p w:rsidR="00536D59" w:rsidRDefault="00AC4DBB" w:rsidP="00312D80">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Однако из Положения неясно, как будут оцениваться и соотноситься между собой те или иные критерии при отборе кандидатов. Кроме того, не усматривается в Положении и сам механизм отбора кандидатов, комиссионный он или единоличный. Определено лишь, что список лиц, отобранных по результатам рассмотрения документов, утверждается Министром образования (п. 7 Положения).</w:t>
      </w:r>
    </w:p>
    <w:p w:rsidR="00536D59" w:rsidRDefault="00AC4DBB" w:rsidP="00312D80">
      <w:pPr>
        <w:spacing w:after="0" w:line="240" w:lineRule="auto"/>
        <w:ind w:firstLine="709"/>
        <w:jc w:val="both"/>
        <w:rPr>
          <w:rFonts w:ascii="Times New Roman" w:hAnsi="Times New Roman" w:cs="Times New Roman"/>
          <w:spacing w:val="-2"/>
        </w:rPr>
      </w:pPr>
      <w:r>
        <w:rPr>
          <w:rFonts w:ascii="Times New Roman" w:hAnsi="Times New Roman" w:cs="Times New Roman"/>
          <w:spacing w:val="-2"/>
          <w:sz w:val="28"/>
          <w:szCs w:val="28"/>
        </w:rPr>
        <w:t>Другим недостаточно раскрытым правовым механизмом, предусмотренным Положением, является письменное обязательство вернуться в Беларусь после завершения обучения, которое подписывают направляемые кандидаты. За исключением того, что в этом обязательстве кандидат указывает свою фамилию, собственное имя, отчество, число, месяц и год рождения, больше о содержании обязательства в п.п. 5,6 Положения ничего не сказано. Неясно какие последствия для кандидата повлечет его невозвращение из-за границы. Полагаем, речь может идти об уже существующих правовых механизмах – отчислении направленного за рубеж кандидата из белорусского учреждения образования или возмещении средств, затраченных государством на обучение специалиста. Однако обе эти меры вряд ли можно считать достаточно эффективными препятствиями утечке потенциальных кадров за границу.</w:t>
      </w:r>
      <w:r>
        <w:rPr>
          <w:rFonts w:ascii="Times New Roman" w:hAnsi="Times New Roman" w:cs="Times New Roman"/>
          <w:spacing w:val="-2"/>
        </w:rPr>
        <w:t xml:space="preserve"> </w:t>
      </w:r>
    </w:p>
    <w:p w:rsidR="00536D59" w:rsidRDefault="00AC4DBB" w:rsidP="00312D80">
      <w:pPr>
        <w:spacing w:after="0" w:line="240" w:lineRule="auto"/>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rPr>
        <w:t xml:space="preserve">При этом Положение не распространяется на отбор граждан Республики Беларусь (далее – граждане), направляемых для получения образования в иностранных организациях, указанных в пунктах 1 и 6 статьи 80 Кодекса Республики Беларусь об образовании. К ним относятся граждане Республики Беларусь, которым место работы предоставлено путем распределения, направляемые в иностранные организации для получения </w:t>
      </w:r>
      <w:r>
        <w:rPr>
          <w:rFonts w:ascii="Times New Roman" w:hAnsi="Times New Roman" w:cs="Times New Roman"/>
          <w:spacing w:val="-2"/>
          <w:sz w:val="28"/>
          <w:szCs w:val="28"/>
        </w:rPr>
        <w:lastRenderedPageBreak/>
        <w:t xml:space="preserve">научно-ориентированного, высшего образования за счет средств республиканского бюджета по специальностям, необходимым для Республики Беларусь, а также </w:t>
      </w:r>
      <w:r>
        <w:rPr>
          <w:rFonts w:ascii="Times New Roman" w:hAnsi="Times New Roman" w:cs="Times New Roman"/>
          <w:spacing w:val="-2"/>
          <w:sz w:val="28"/>
          <w:szCs w:val="28"/>
          <w:shd w:val="clear" w:color="auto" w:fill="FFFFFF"/>
        </w:rPr>
        <w:t>лица, получающие научно-ориентированное, высшее образование в Республике Беларусь в дневной форме за счет средств республиканского бюджета, направляемые в иностранные организации для обучения в целях повышения уровня их теоретической и практической подготовки, овладения новейшими технологиями и методами проведения научных исследований по специальностям, которые не получили достаточного развития в Республике Беларусь. То есть Положение не распространяет свое действия на круг лиц, возвращение которых из-за границы является приоритетным для Республики Беларусь.</w:t>
      </w:r>
    </w:p>
    <w:p w:rsidR="00536D59" w:rsidRDefault="00AC4DBB" w:rsidP="00312D80">
      <w:pPr>
        <w:spacing w:after="0" w:line="240" w:lineRule="auto"/>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Таким образом, Положение подлежит изменению в части устранения вышеуказанных проблемных аспектов для предупреждения негативных последствий для рынка труда в Республике Беларусь.</w:t>
      </w:r>
    </w:p>
    <w:p w:rsidR="00536D59" w:rsidRDefault="00536D59" w:rsidP="00312D80">
      <w:pPr>
        <w:spacing w:after="0" w:line="240" w:lineRule="auto"/>
        <w:ind w:firstLine="709"/>
        <w:jc w:val="both"/>
        <w:rPr>
          <w:rFonts w:ascii="Times New Roman" w:hAnsi="Times New Roman" w:cs="Times New Roman"/>
          <w:sz w:val="28"/>
          <w:szCs w:val="28"/>
          <w:shd w:val="clear" w:color="auto" w:fill="FFFFFF"/>
        </w:rPr>
      </w:pPr>
    </w:p>
    <w:p w:rsidR="00536D59" w:rsidRPr="00AB4FD4" w:rsidRDefault="00AC4DBB" w:rsidP="00312D80">
      <w:pPr>
        <w:spacing w:after="0" w:line="240" w:lineRule="auto"/>
        <w:ind w:firstLine="709"/>
        <w:jc w:val="center"/>
        <w:rPr>
          <w:rFonts w:ascii="Times New Roman" w:hAnsi="Times New Roman" w:cs="Times New Roman"/>
          <w:b/>
          <w:sz w:val="28"/>
          <w:szCs w:val="28"/>
        </w:rPr>
      </w:pPr>
      <w:r w:rsidRPr="00AB4FD4">
        <w:rPr>
          <w:rFonts w:ascii="Times New Roman" w:hAnsi="Times New Roman" w:cs="Times New Roman"/>
          <w:b/>
          <w:sz w:val="28"/>
          <w:szCs w:val="28"/>
        </w:rPr>
        <w:t>Список литературы</w:t>
      </w:r>
    </w:p>
    <w:p w:rsidR="00536D59" w:rsidRDefault="00AC4DBB" w:rsidP="00312D80">
      <w:pPr>
        <w:pStyle w:val="af0"/>
        <w:numPr>
          <w:ilvl w:val="0"/>
          <w:numId w:val="6"/>
        </w:numPr>
        <w:spacing w:after="0" w:line="240" w:lineRule="auto"/>
        <w:ind w:left="0"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Статистический ежегодник 2025 г. // Белстат. – URL: </w:t>
      </w:r>
      <w:hyperlink r:id="rId9" w:history="1">
        <w:r>
          <w:rPr>
            <w:rFonts w:ascii="Times New Roman" w:hAnsi="Times New Roman" w:cs="Times New Roman"/>
            <w:spacing w:val="-4"/>
            <w:sz w:val="24"/>
            <w:szCs w:val="24"/>
          </w:rPr>
          <w:t>https://www.belstat.gov.by/upload/iblock/9be/bw58kf25iyvf50lhg5ggffbiroi4haqa.pdf</w:t>
        </w:r>
      </w:hyperlink>
      <w:r>
        <w:rPr>
          <w:rFonts w:ascii="Times New Roman" w:hAnsi="Times New Roman" w:cs="Times New Roman"/>
          <w:spacing w:val="-4"/>
          <w:sz w:val="24"/>
          <w:szCs w:val="24"/>
        </w:rPr>
        <w:t>.</w:t>
      </w:r>
    </w:p>
    <w:p w:rsidR="00536D59" w:rsidRDefault="00AC4DBB" w:rsidP="00312D80">
      <w:pPr>
        <w:pStyle w:val="af0"/>
        <w:numPr>
          <w:ilvl w:val="0"/>
          <w:numId w:val="6"/>
        </w:numPr>
        <w:spacing w:after="0" w:line="240" w:lineRule="auto"/>
        <w:ind w:left="0" w:firstLine="709"/>
        <w:jc w:val="both"/>
        <w:rPr>
          <w:rFonts w:ascii="Times New Roman" w:hAnsi="Times New Roman" w:cs="Times New Roman"/>
          <w:spacing w:val="-4"/>
          <w:sz w:val="24"/>
          <w:szCs w:val="24"/>
        </w:rPr>
      </w:pPr>
      <w:r>
        <w:rPr>
          <w:rFonts w:ascii="Times New Roman" w:hAnsi="Times New Roman" w:cs="Times New Roman"/>
          <w:spacing w:val="-4"/>
          <w:sz w:val="24"/>
          <w:szCs w:val="24"/>
        </w:rPr>
        <w:t>Образовательная миграция в Республике Беларусь: социально-экономические эффекты и направления развития // Электронная библиотека БГУ. – URL: https://elib.bsu.by/bitstream/123456789/254462/1/Journal2020_3-4_vfinal.pdf.</w:t>
      </w:r>
    </w:p>
    <w:p w:rsidR="00536D59" w:rsidRDefault="00AC4DBB" w:rsidP="00312D80">
      <w:pPr>
        <w:pStyle w:val="af0"/>
        <w:numPr>
          <w:ilvl w:val="0"/>
          <w:numId w:val="6"/>
        </w:numPr>
        <w:spacing w:after="0" w:line="240" w:lineRule="auto"/>
        <w:ind w:left="0"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Посол: белорусские вузы котируются в Китае, растет число студентов из разных провинций // БЕЛТА. – URL: </w:t>
      </w:r>
      <w:hyperlink r:id="rId10" w:history="1">
        <w:r>
          <w:rPr>
            <w:rFonts w:ascii="Times New Roman" w:hAnsi="Times New Roman" w:cs="Times New Roman"/>
            <w:spacing w:val="-4"/>
            <w:sz w:val="24"/>
            <w:szCs w:val="24"/>
          </w:rPr>
          <w:t>https://belta.by/society/view/posol-belorusskie-vuzy-kotirujutsja-v-kitae-rastet-chislo-studentov-iz-raznyh-provintsij-727946-2025/</w:t>
        </w:r>
      </w:hyperlink>
      <w:r>
        <w:rPr>
          <w:rFonts w:ascii="Times New Roman" w:hAnsi="Times New Roman" w:cs="Times New Roman"/>
          <w:spacing w:val="-4"/>
          <w:sz w:val="24"/>
          <w:szCs w:val="24"/>
        </w:rPr>
        <w:t>.</w:t>
      </w:r>
    </w:p>
    <w:p w:rsidR="00536D59" w:rsidRDefault="00AC4DBB" w:rsidP="00312D80">
      <w:pPr>
        <w:pStyle w:val="af0"/>
        <w:numPr>
          <w:ilvl w:val="0"/>
          <w:numId w:val="6"/>
        </w:numPr>
        <w:spacing w:after="0" w:line="240" w:lineRule="auto"/>
        <w:ind w:left="0"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Министерство образования утвердило порядок участия в международных образовательных программах // Министерство образования Республики Беларусь. – URL: </w:t>
      </w:r>
      <w:hyperlink r:id="rId11" w:history="1">
        <w:r>
          <w:rPr>
            <w:rFonts w:ascii="Times New Roman" w:hAnsi="Times New Roman" w:cs="Times New Roman"/>
            <w:spacing w:val="-4"/>
            <w:sz w:val="24"/>
            <w:szCs w:val="24"/>
          </w:rPr>
          <w:t>https://edu.gov.by/news/ministerstvo-obrazovaniya-utverdilo-poryadok-uchastiya-v-mezhdunarodnykh-obrazovatelnykh-programmakh/</w:t>
        </w:r>
      </w:hyperlink>
      <w:r>
        <w:rPr>
          <w:rFonts w:ascii="Times New Roman" w:hAnsi="Times New Roman" w:cs="Times New Roman"/>
          <w:spacing w:val="-4"/>
          <w:sz w:val="24"/>
          <w:szCs w:val="24"/>
        </w:rPr>
        <w:t>.</w:t>
      </w:r>
    </w:p>
    <w:p w:rsidR="00536D59" w:rsidRDefault="00AC4DBB" w:rsidP="00312D80">
      <w:pPr>
        <w:pStyle w:val="af0"/>
        <w:numPr>
          <w:ilvl w:val="0"/>
          <w:numId w:val="6"/>
        </w:numPr>
        <w:spacing w:after="0" w:line="240" w:lineRule="auto"/>
        <w:ind w:left="0"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Программы обучения за рубежом // Официальный сайт БГУ. – URL: </w:t>
      </w:r>
      <w:hyperlink r:id="rId12" w:history="1">
        <w:r>
          <w:rPr>
            <w:rStyle w:val="a4"/>
            <w:rFonts w:ascii="Times New Roman" w:hAnsi="Times New Roman" w:cs="Times New Roman"/>
            <w:color w:val="auto"/>
            <w:spacing w:val="-4"/>
            <w:sz w:val="24"/>
            <w:szCs w:val="24"/>
          </w:rPr>
          <w:t>https://bsu.by/mezhdunarodnoe-sotrudnichestvo/programmy-obucheniya-za-rubezhom/?clear_cache=Y/</w:t>
        </w:r>
      </w:hyperlink>
      <w:r>
        <w:rPr>
          <w:rFonts w:ascii="Times New Roman" w:hAnsi="Times New Roman" w:cs="Times New Roman"/>
          <w:spacing w:val="-4"/>
          <w:sz w:val="24"/>
          <w:szCs w:val="24"/>
        </w:rPr>
        <w:t>.</w:t>
      </w:r>
    </w:p>
    <w:p w:rsidR="00536D59" w:rsidRDefault="00AC4DBB" w:rsidP="00312D80">
      <w:pPr>
        <w:pStyle w:val="af0"/>
        <w:numPr>
          <w:ilvl w:val="0"/>
          <w:numId w:val="6"/>
        </w:numPr>
        <w:spacing w:after="0" w:line="240" w:lineRule="auto"/>
        <w:ind w:left="0"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О порядке отбора кандидатов, направляемых для получения образования в иностранных организациях в рамках международных договоров Республики Беларусь </w:t>
      </w:r>
      <w:r>
        <w:rPr>
          <w:rFonts w:ascii="Times New Roman" w:hAnsi="Times New Roman" w:cs="Times New Roman"/>
          <w:sz w:val="24"/>
          <w:szCs w:val="24"/>
        </w:rPr>
        <w:t xml:space="preserve">: постановление Министерства образования Респ. Беларусь от </w:t>
      </w:r>
      <w:r>
        <w:rPr>
          <w:rFonts w:ascii="Times New Roman" w:hAnsi="Times New Roman" w:cs="Times New Roman"/>
          <w:spacing w:val="-4"/>
          <w:sz w:val="24"/>
          <w:szCs w:val="24"/>
        </w:rPr>
        <w:t xml:space="preserve">8 дек. 2025 г. № 209 </w:t>
      </w:r>
      <w:r>
        <w:rPr>
          <w:rFonts w:ascii="Times New Roman" w:hAnsi="Times New Roman" w:cs="Times New Roman"/>
          <w:sz w:val="24"/>
          <w:szCs w:val="24"/>
        </w:rPr>
        <w:t xml:space="preserve">// ЭТАЛОН : информ.-поисковая система (дата обращения: </w:t>
      </w:r>
      <w:r>
        <w:rPr>
          <w:rFonts w:ascii="Times New Roman" w:hAnsi="Times New Roman" w:cs="Times New Roman"/>
          <w:spacing w:val="-4"/>
          <w:sz w:val="24"/>
          <w:szCs w:val="24"/>
        </w:rPr>
        <w:t>13.04.2026</w:t>
      </w:r>
      <w:r>
        <w:rPr>
          <w:rFonts w:ascii="Times New Roman" w:hAnsi="Times New Roman" w:cs="Times New Roman"/>
          <w:sz w:val="24"/>
          <w:szCs w:val="24"/>
        </w:rPr>
        <w:t>)</w:t>
      </w:r>
      <w:r w:rsidR="00312D80">
        <w:rPr>
          <w:rFonts w:ascii="Times New Roman" w:hAnsi="Times New Roman" w:cs="Times New Roman"/>
          <w:sz w:val="24"/>
          <w:szCs w:val="24"/>
        </w:rPr>
        <w:t>.</w:t>
      </w:r>
    </w:p>
    <w:p w:rsidR="000E2370" w:rsidRDefault="000E2370">
      <w:pPr>
        <w:spacing w:after="0" w:line="240" w:lineRule="auto"/>
        <w:ind w:left="284"/>
        <w:jc w:val="center"/>
        <w:rPr>
          <w:rFonts w:ascii="Times New Roman" w:hAnsi="Times New Roman" w:cs="Times New Roman"/>
          <w:b/>
          <w:sz w:val="28"/>
          <w:szCs w:val="28"/>
        </w:rPr>
      </w:pPr>
    </w:p>
    <w:p w:rsidR="00536D59" w:rsidRDefault="00AC4DBB" w:rsidP="000E237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РОЛЬ ДВИЖЕНИЯ ГОРОДОВ-ПОБРАТИМОВ В РАЗВИТИИ РЕГИОНОВ РЕСПУБЛИКИ БЕЛАРУСЬ</w:t>
      </w:r>
    </w:p>
    <w:p w:rsidR="00536D59" w:rsidRDefault="00536D59" w:rsidP="000E2370">
      <w:pPr>
        <w:spacing w:after="0" w:line="240" w:lineRule="auto"/>
        <w:ind w:firstLine="709"/>
        <w:jc w:val="center"/>
        <w:rPr>
          <w:rFonts w:ascii="Times New Roman" w:hAnsi="Times New Roman" w:cs="Times New Roman"/>
          <w:b/>
          <w:sz w:val="28"/>
          <w:szCs w:val="28"/>
        </w:rPr>
      </w:pPr>
    </w:p>
    <w:p w:rsidR="00536D59" w:rsidRDefault="00AC4DBB" w:rsidP="000E2370">
      <w:pPr>
        <w:spacing w:after="0" w:line="240" w:lineRule="auto"/>
        <w:ind w:firstLine="709"/>
        <w:jc w:val="center"/>
        <w:rPr>
          <w:rFonts w:ascii="Times New Roman" w:hAnsi="Times New Roman" w:cs="Times New Roman"/>
          <w:b/>
          <w:sz w:val="28"/>
          <w:szCs w:val="28"/>
          <w:lang w:val="be-BY"/>
        </w:rPr>
      </w:pPr>
      <w:r>
        <w:rPr>
          <w:rFonts w:ascii="Times New Roman" w:hAnsi="Times New Roman" w:cs="Times New Roman"/>
          <w:b/>
          <w:sz w:val="28"/>
          <w:szCs w:val="28"/>
          <w:lang w:val="be-BY"/>
        </w:rPr>
        <w:t>Рябцев Иван Витальевич</w:t>
      </w:r>
    </w:p>
    <w:p w:rsidR="00536D59" w:rsidRDefault="00AC4DBB" w:rsidP="000E2370">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студент 3 курса учреждения образования «Белорусский государственный университет» (г. Минск, Республика Беларусь)</w:t>
      </w:r>
    </w:p>
    <w:p w:rsidR="00536D59" w:rsidRDefault="00AC4DBB" w:rsidP="000E2370">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lang w:val="en-US"/>
        </w:rPr>
        <w:t>vanya</w:t>
      </w:r>
      <w:r>
        <w:rPr>
          <w:rFonts w:ascii="Times New Roman" w:hAnsi="Times New Roman" w:cs="Times New Roman"/>
          <w:sz w:val="28"/>
          <w:szCs w:val="28"/>
        </w:rPr>
        <w:t>952006@</w:t>
      </w:r>
      <w:r>
        <w:rPr>
          <w:rFonts w:ascii="Times New Roman" w:hAnsi="Times New Roman" w:cs="Times New Roman"/>
          <w:sz w:val="28"/>
          <w:szCs w:val="28"/>
          <w:lang w:val="en-US"/>
        </w:rPr>
        <w:t>gmail</w:t>
      </w:r>
      <w:r>
        <w:rPr>
          <w:rFonts w:ascii="Times New Roman" w:hAnsi="Times New Roman" w:cs="Times New Roman"/>
          <w:sz w:val="28"/>
          <w:szCs w:val="28"/>
        </w:rPr>
        <w:t>.</w:t>
      </w:r>
      <w:r>
        <w:rPr>
          <w:rFonts w:ascii="Times New Roman" w:hAnsi="Times New Roman" w:cs="Times New Roman"/>
          <w:sz w:val="28"/>
          <w:szCs w:val="28"/>
          <w:lang w:val="en-US"/>
        </w:rPr>
        <w:t>com</w:t>
      </w:r>
    </w:p>
    <w:p w:rsidR="00536D59" w:rsidRDefault="00536D59" w:rsidP="000E2370">
      <w:pPr>
        <w:spacing w:after="0" w:line="240" w:lineRule="auto"/>
        <w:ind w:firstLine="709"/>
        <w:jc w:val="center"/>
        <w:rPr>
          <w:rFonts w:ascii="Times New Roman" w:hAnsi="Times New Roman" w:cs="Times New Roman"/>
          <w:b/>
          <w:sz w:val="28"/>
          <w:szCs w:val="28"/>
        </w:rPr>
      </w:pPr>
    </w:p>
    <w:p w:rsidR="00536D59" w:rsidRDefault="00AC4DBB" w:rsidP="000E2370">
      <w:pPr>
        <w:pStyle w:val="1"/>
        <w:spacing w:before="0" w:line="240" w:lineRule="auto"/>
        <w:ind w:firstLine="709"/>
        <w:jc w:val="both"/>
        <w:rPr>
          <w:rFonts w:ascii="Times New Roman" w:hAnsi="Times New Roman" w:cs="Times New Roman"/>
          <w:b/>
          <w:color w:val="auto"/>
          <w:sz w:val="24"/>
          <w:szCs w:val="24"/>
        </w:rPr>
      </w:pPr>
      <w:r>
        <w:rPr>
          <w:rFonts w:ascii="Times New Roman" w:hAnsi="Times New Roman" w:cs="Times New Roman"/>
          <w:b/>
          <w:bCs/>
          <w:color w:val="auto"/>
          <w:sz w:val="24"/>
          <w:szCs w:val="24"/>
        </w:rPr>
        <w:lastRenderedPageBreak/>
        <w:t>Аннотация.</w:t>
      </w:r>
      <w:r>
        <w:rPr>
          <w:rFonts w:ascii="Times New Roman" w:hAnsi="Times New Roman" w:cs="Times New Roman"/>
          <w:color w:val="auto"/>
          <w:sz w:val="24"/>
          <w:szCs w:val="24"/>
        </w:rPr>
        <w:t xml:space="preserve"> В последние годы во всем мире набирает популярность региональный уровень международного сотрудничества, который включает в себя в том числе и движение городов-побратимов, характерное и для Республики Беларусь. Данное движение заключается в установлении местными властями дружественных связей с местными властями в других странах, что влияет на последующее развитие экономических и культурных связей между городами этих стран. В данной статье рассмотрена роль движения породнения городов Республики Беларусь и его влияние на развитие регионов нашей страны.</w:t>
      </w:r>
    </w:p>
    <w:p w:rsidR="00536D59" w:rsidRDefault="00AC4DBB" w:rsidP="000E2370">
      <w:pPr>
        <w:pStyle w:val="10"/>
        <w:spacing w:after="0" w:line="240" w:lineRule="auto"/>
        <w:ind w:firstLine="709"/>
        <w:jc w:val="both"/>
        <w:rPr>
          <w:rFonts w:ascii="Times New Roman" w:eastAsia="Times New Roman" w:hAnsi="Times New Roman" w:cs="Times New Roman"/>
          <w:b/>
          <w:szCs w:val="24"/>
          <w:highlight w:val="white"/>
        </w:rPr>
      </w:pPr>
      <w:r>
        <w:rPr>
          <w:rFonts w:ascii="Times New Roman" w:eastAsia="Times New Roman" w:hAnsi="Times New Roman" w:cs="Times New Roman"/>
          <w:b/>
          <w:sz w:val="24"/>
          <w:szCs w:val="24"/>
          <w:highlight w:val="white"/>
        </w:rPr>
        <w:t>Ключевые слова</w:t>
      </w:r>
      <w:r w:rsidR="00AB4FD4">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rPr>
        <w:t xml:space="preserve"> </w:t>
      </w:r>
      <w:r w:rsidR="00AB4FD4">
        <w:rPr>
          <w:rFonts w:ascii="Times New Roman" w:eastAsia="Times New Roman" w:hAnsi="Times New Roman" w:cs="Times New Roman"/>
          <w:sz w:val="24"/>
          <w:szCs w:val="24"/>
          <w:highlight w:val="white"/>
        </w:rPr>
        <w:t>Д</w:t>
      </w:r>
      <w:r>
        <w:rPr>
          <w:rFonts w:ascii="Times New Roman" w:eastAsia="Times New Roman" w:hAnsi="Times New Roman" w:cs="Times New Roman"/>
          <w:sz w:val="24"/>
          <w:szCs w:val="24"/>
          <w:highlight w:val="white"/>
        </w:rPr>
        <w:t xml:space="preserve">вижение городов-побратимов, региональное развитие, система международных отношений, </w:t>
      </w:r>
      <w:r>
        <w:rPr>
          <w:rFonts w:ascii="Times New Roman" w:hAnsi="Times New Roman" w:cs="Times New Roman"/>
          <w:sz w:val="24"/>
        </w:rPr>
        <w:t xml:space="preserve">Белорусская общественная организация «Породненные города», Евразийский экономический союз. </w:t>
      </w:r>
    </w:p>
    <w:p w:rsidR="00536D59" w:rsidRDefault="00536D59" w:rsidP="000E2370">
      <w:pPr>
        <w:pStyle w:val="1"/>
        <w:spacing w:before="0" w:line="240" w:lineRule="auto"/>
        <w:ind w:firstLine="709"/>
        <w:jc w:val="both"/>
        <w:rPr>
          <w:rFonts w:ascii="Times New Roman" w:hAnsi="Times New Roman" w:cs="Times New Roman"/>
          <w:b/>
          <w:i/>
          <w:color w:val="auto"/>
          <w:sz w:val="24"/>
          <w:szCs w:val="24"/>
        </w:rPr>
      </w:pPr>
    </w:p>
    <w:p w:rsidR="00536D59" w:rsidRDefault="00AC4DBB" w:rsidP="000E2370">
      <w:pPr>
        <w:pStyle w:val="1"/>
        <w:spacing w:before="0" w:line="240" w:lineRule="auto"/>
        <w:ind w:firstLine="709"/>
        <w:jc w:val="both"/>
        <w:rPr>
          <w:rFonts w:ascii="Times New Roman" w:hAnsi="Times New Roman" w:cs="Times New Roman"/>
          <w:b/>
          <w:color w:val="auto"/>
          <w:sz w:val="28"/>
        </w:rPr>
      </w:pPr>
      <w:r>
        <w:rPr>
          <w:rFonts w:ascii="Times New Roman" w:hAnsi="Times New Roman" w:cs="Times New Roman"/>
          <w:color w:val="auto"/>
          <w:sz w:val="28"/>
          <w:szCs w:val="28"/>
        </w:rPr>
        <w:t xml:space="preserve">Современная система международных отношений является трехуровневой и включает в себя глобальный (надгосударственный), межгосударственный и региональный уровни. И если два первых уровня (глобальный и межгосударственный) являются хорошо изученными, то третий (региональный) фактически малоизучен и требует научного осмысления </w:t>
      </w:r>
      <w:r>
        <w:rPr>
          <w:rStyle w:val="ezkurwreuab5ozgtqnkl"/>
          <w:rFonts w:ascii="Times New Roman" w:hAnsi="Times New Roman"/>
          <w:color w:val="auto"/>
          <w:sz w:val="28"/>
          <w:szCs w:val="28"/>
        </w:rPr>
        <w:t>[1, 147]</w:t>
      </w:r>
      <w:r>
        <w:rPr>
          <w:rFonts w:ascii="Times New Roman" w:hAnsi="Times New Roman" w:cs="Times New Roman"/>
          <w:color w:val="auto"/>
          <w:sz w:val="28"/>
          <w:szCs w:val="28"/>
        </w:rPr>
        <w:t xml:space="preserve">. Региональное сотрудничество получило огромный толчок к развитию в последние годы и продолжает развиваться на современном этапе международных отношений по всему миру. </w:t>
      </w:r>
      <w:r>
        <w:rPr>
          <w:rFonts w:ascii="Times New Roman" w:hAnsi="Times New Roman" w:cs="Times New Roman"/>
          <w:color w:val="auto"/>
          <w:sz w:val="28"/>
        </w:rPr>
        <w:t xml:space="preserve">Оно играет важную роль в ускорении экономического роста, сокращении бедности, разрыва в доходах и экономического неравенства, повышении производительности и занятости, а также в укреплении институтов. Сотрудничество между регионами может улучшить потенциал роста бедных стран за счет расширения торговых и инвестиционных возможностей, укрепления транспортных и информационных связей, а также повышения качества информационно-коммуникационных технологий </w:t>
      </w:r>
      <w:r>
        <w:rPr>
          <w:rStyle w:val="ezkurwreuab5ozgtqnkl"/>
          <w:rFonts w:ascii="Times New Roman" w:hAnsi="Times New Roman"/>
          <w:color w:val="auto"/>
          <w:sz w:val="28"/>
          <w:szCs w:val="28"/>
        </w:rPr>
        <w:t>[2]</w:t>
      </w:r>
      <w:r>
        <w:rPr>
          <w:rFonts w:ascii="Times New Roman" w:hAnsi="Times New Roman" w:cs="Times New Roman"/>
          <w:color w:val="auto"/>
          <w:sz w:val="28"/>
        </w:rPr>
        <w:t xml:space="preserve">. </w:t>
      </w:r>
    </w:p>
    <w:p w:rsidR="00536D59" w:rsidRDefault="00AC4DBB" w:rsidP="000E2370">
      <w:pPr>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Программы регионального сотрудничества существуют как на мировом уровне, так и в рамках интеграционных объединений и международных организаций, например, Программа регионального сотрудничества и интеграции Азиатского Банка Развития </w:t>
      </w:r>
      <w:r>
        <w:rPr>
          <w:rStyle w:val="ezkurwreuab5ozgtqnkl"/>
          <w:rFonts w:ascii="Times New Roman" w:hAnsi="Times New Roman"/>
          <w:sz w:val="28"/>
          <w:szCs w:val="28"/>
        </w:rPr>
        <w:t>[2]</w:t>
      </w:r>
      <w:r>
        <w:rPr>
          <w:rFonts w:ascii="Times New Roman" w:hAnsi="Times New Roman" w:cs="Times New Roman"/>
          <w:sz w:val="28"/>
        </w:rPr>
        <w:t xml:space="preserve"> или Программа регионального сотрудничества в Европейском Союзе для которого был создан специальный Европейский Региональный Фонд Развития. </w:t>
      </w:r>
    </w:p>
    <w:p w:rsidR="00536D59" w:rsidRDefault="00AC4DBB" w:rsidP="000E23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rPr>
        <w:t xml:space="preserve">Такие же программы существуют также и в рамках интеграционных объединений, членом которых является Республика Беларусь, например, в рамках Союзного государства Беларуси и России или Евразийского Экономического Союза (ЕАЭС). Одной из них является Программа развития межрегионального торгово-экономического сотрудничества в Евразийском Экономическом Союзе. </w:t>
      </w:r>
      <w:r>
        <w:rPr>
          <w:rFonts w:ascii="Times New Roman" w:hAnsi="Times New Roman" w:cs="Times New Roman"/>
          <w:sz w:val="28"/>
          <w:szCs w:val="28"/>
        </w:rPr>
        <w:t xml:space="preserve">Региональное развитие является одним из 9 ключевых направлений экономического развития ЕАЭС до 2030 года, которые были определены Решением Высшего Евразийского экономического совета от 16 октября 2015 г. № 28 </w:t>
      </w:r>
      <w:r>
        <w:rPr>
          <w:rStyle w:val="ezkurwreuab5ozgtqnkl"/>
          <w:rFonts w:ascii="Times New Roman" w:hAnsi="Times New Roman"/>
          <w:sz w:val="28"/>
          <w:szCs w:val="28"/>
        </w:rPr>
        <w:t>[3]</w:t>
      </w:r>
      <w:r>
        <w:rPr>
          <w:rFonts w:ascii="Times New Roman" w:hAnsi="Times New Roman" w:cs="Times New Roman"/>
          <w:sz w:val="28"/>
          <w:szCs w:val="28"/>
        </w:rPr>
        <w:t>.</w:t>
      </w:r>
    </w:p>
    <w:p w:rsidR="00536D59" w:rsidRDefault="00AC4DBB" w:rsidP="000E2370">
      <w:pPr>
        <w:pStyle w:val="ad"/>
        <w:shd w:val="clear" w:color="auto" w:fill="FFFFFF"/>
        <w:spacing w:before="0" w:beforeAutospacing="0" w:after="0" w:afterAutospacing="0"/>
        <w:ind w:firstLine="709"/>
        <w:contextualSpacing/>
        <w:jc w:val="both"/>
        <w:rPr>
          <w:sz w:val="28"/>
          <w:szCs w:val="28"/>
          <w:shd w:val="clear" w:color="auto" w:fill="FFFFFF"/>
          <w:lang w:val="ru-RU"/>
        </w:rPr>
      </w:pPr>
      <w:r>
        <w:rPr>
          <w:sz w:val="28"/>
          <w:szCs w:val="28"/>
          <w:shd w:val="clear" w:color="auto" w:fill="FFFFFF"/>
          <w:lang w:val="ru-RU"/>
        </w:rPr>
        <w:lastRenderedPageBreak/>
        <w:t>Одним из видов регионального сотрудничества является сотрудничество между городами или движение городов-побратимов. Данное движение имеет достаточно богатую историю, начавшуюся после Второй мировой войны. Ранее движение породнения городов имело скорее политический характер и было использовано как одна из немногих, доступных в то время форм дружбы между населением отдельных городов двух противоборствующих блоков во времена «Холодной войны». Однако, в последние десятилетия движение городов-побратимов стало использоваться также и в экономической сфере в том числе для упрощения и наращивания совместной торговли товарами и услугами, а также для развития самих городов, особенно небольших по численности населения. В связи с повышенным вниманием к развитию регионов в Республике Беларусь, движение породнения городов крайне важно и для нашей страны.</w:t>
      </w:r>
    </w:p>
    <w:p w:rsidR="00536D59" w:rsidRDefault="00AC4DBB" w:rsidP="000E2370">
      <w:pPr>
        <w:pStyle w:val="ad"/>
        <w:shd w:val="clear" w:color="auto" w:fill="FFFFFF"/>
        <w:spacing w:before="0" w:beforeAutospacing="0" w:after="0" w:afterAutospacing="0"/>
        <w:ind w:firstLine="709"/>
        <w:contextualSpacing/>
        <w:jc w:val="both"/>
        <w:rPr>
          <w:sz w:val="28"/>
          <w:szCs w:val="28"/>
          <w:shd w:val="clear" w:color="auto" w:fill="FFFFFF"/>
          <w:lang w:val="ru-RU"/>
        </w:rPr>
      </w:pPr>
      <w:r>
        <w:rPr>
          <w:sz w:val="28"/>
          <w:lang w:val="ru-RU"/>
        </w:rPr>
        <w:t xml:space="preserve">Как административные центры малые и средние города не только осуществляют организационно-хозяйственные и административные функции, но и являются местом сосредоточения производственных предприятий, а также учреждений культуры, образования, здравоохранения и торговли, предоставляющих услуги жителям прилегающих сельских территорий. Исходя из этого, можно сделать вывод о значительной роли малых и средних городов в социально-экономическом и пространственном развитии всего государства. Вместе с тем большая часть малых и средних городов еще не утратила свой потенциал, который можно задействовать в целях развития самого города и диверсификации сельской экономики. В настоящее время создание благоприятных условий для комфортного проживания населения малых и средних городов и прилегающих к ним сельских территорий, безусловно, является одной из главных задач, стоящих перед органами государственной власти. При грамотном управленческом подходе малые и средние города способны стать опорными точками и драйверами роста для развития сельской экономики </w:t>
      </w:r>
      <w:r>
        <w:rPr>
          <w:rStyle w:val="ezkurwreuab5ozgtqnkl"/>
          <w:sz w:val="28"/>
          <w:szCs w:val="28"/>
          <w:lang w:val="ru-RU"/>
        </w:rPr>
        <w:t>[4, 135]</w:t>
      </w:r>
      <w:r>
        <w:rPr>
          <w:sz w:val="28"/>
          <w:lang w:val="ru-RU"/>
        </w:rPr>
        <w:t>.</w:t>
      </w:r>
    </w:p>
    <w:p w:rsidR="00536D59" w:rsidRDefault="00AC4DBB" w:rsidP="000E23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rPr>
        <w:tab/>
        <w:t xml:space="preserve">Для развития движения городов-побратимов в нашей стране было создано Белорусская общественная организация «Породненные города» (БООПГ). По словам председателя данной организации Бориса Батуры: </w:t>
      </w:r>
      <w:r>
        <w:rPr>
          <w:rFonts w:ascii="Times New Roman" w:hAnsi="Times New Roman" w:cs="Times New Roman"/>
          <w:sz w:val="28"/>
          <w:szCs w:val="28"/>
        </w:rPr>
        <w:t xml:space="preserve">«Побратимское движение очень важно для развития международных связей Беларуси с зарубежными государствами. Международное движение породненных городов зародилось в годы Второй мировой войны. Первое побратимство связало английский Ковентри и советский Сталинград. Первым белорусским участником побратимского движения стал Минск, подписавший в 1957 году договор о породнении с английским городом Ноттингемом» </w:t>
      </w:r>
      <w:r>
        <w:rPr>
          <w:rFonts w:ascii="Times New Roman" w:hAnsi="Times New Roman" w:cs="Times New Roman"/>
          <w:sz w:val="28"/>
          <w:lang w:val="be-BY"/>
        </w:rPr>
        <w:t>[5]</w:t>
      </w:r>
      <w:r>
        <w:rPr>
          <w:rFonts w:ascii="Times New Roman" w:hAnsi="Times New Roman" w:cs="Times New Roman"/>
          <w:sz w:val="28"/>
          <w:szCs w:val="28"/>
        </w:rPr>
        <w:t xml:space="preserve">. Данные слова еще раз подчеркивают богатую историю движения породнения городов на территории Беларуси, а также его важность и актуальность в современном мире. </w:t>
      </w:r>
    </w:p>
    <w:p w:rsidR="00536D59" w:rsidRDefault="00AC4DBB" w:rsidP="000E23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rPr>
        <w:lastRenderedPageBreak/>
        <w:t xml:space="preserve">Ключевым направлением движения городов-побратимов в Республике Беларусь в современных условиях является сотрудничество с городами Российской Федерации, однако этим Белорусская общественная организация «Породненные города» не ограничивается и продолжает искать новые возможные варианты установления побратимских связей с городами ближнего и дальнего зарубежья. Например, в 2023 году </w:t>
      </w:r>
      <w:r>
        <w:rPr>
          <w:rFonts w:ascii="Times New Roman" w:hAnsi="Times New Roman" w:cs="Times New Roman"/>
          <w:sz w:val="28"/>
          <w:szCs w:val="28"/>
        </w:rPr>
        <w:t>Белорусская общественная организация «Породненные города» предлагала провести объединенную встречу городов-побратимов стран Шанхайской организации сотрудничества. При этом член правления БООПГ подчеркнула: «В условиях к</w:t>
      </w:r>
      <w:r>
        <w:rPr>
          <w:rFonts w:ascii="Times New Roman" w:hAnsi="Times New Roman" w:cs="Times New Roman"/>
          <w:iCs/>
          <w:sz w:val="28"/>
          <w:szCs w:val="28"/>
        </w:rPr>
        <w:t>ардинальных трансформаций международного устройства важно выработать совместные позиции и совместно осуществлять взаимовыгодные проекты</w:t>
      </w:r>
      <w:r>
        <w:rPr>
          <w:rFonts w:ascii="Times New Roman" w:hAnsi="Times New Roman" w:cs="Times New Roman"/>
          <w:sz w:val="28"/>
          <w:szCs w:val="28"/>
        </w:rPr>
        <w:t>. Побратимство городов Беларуси и стран организации приобретает сейчас большую востребованность</w:t>
      </w:r>
      <w:r>
        <w:rPr>
          <w:rFonts w:ascii="Times New Roman" w:hAnsi="Times New Roman" w:cs="Times New Roman"/>
          <w:iCs/>
          <w:sz w:val="28"/>
          <w:szCs w:val="28"/>
        </w:rPr>
        <w:t xml:space="preserve">» </w:t>
      </w:r>
      <w:r>
        <w:rPr>
          <w:rFonts w:ascii="Times New Roman" w:hAnsi="Times New Roman" w:cs="Times New Roman"/>
          <w:sz w:val="28"/>
          <w:szCs w:val="28"/>
        </w:rPr>
        <w:t>[6].</w:t>
      </w:r>
    </w:p>
    <w:p w:rsidR="00536D59" w:rsidRDefault="00AC4DBB" w:rsidP="000E2370">
      <w:pPr>
        <w:pStyle w:val="ds-markdown-paragraph"/>
        <w:shd w:val="clear" w:color="auto" w:fill="FFFFFF"/>
        <w:spacing w:before="0" w:beforeAutospacing="0" w:after="0" w:afterAutospacing="0"/>
        <w:ind w:firstLine="709"/>
        <w:contextualSpacing/>
        <w:jc w:val="both"/>
        <w:rPr>
          <w:sz w:val="28"/>
          <w:szCs w:val="28"/>
        </w:rPr>
      </w:pPr>
      <w:r>
        <w:rPr>
          <w:sz w:val="28"/>
          <w:szCs w:val="28"/>
        </w:rPr>
        <w:t xml:space="preserve">Участие белорусских городов в движении городов-побратимов преследует комплекс взаимосвязанных целей, ключевыми среди которых являются социально-экономическое развитие городов, повышение роли и увеличение полномочий местных органов власти, культурный обмен и формирование позитивного имиджа страны. </w:t>
      </w:r>
    </w:p>
    <w:p w:rsidR="00536D59" w:rsidRDefault="00AC4DBB" w:rsidP="000E2370">
      <w:pPr>
        <w:pStyle w:val="ds-markdown-paragraph"/>
        <w:shd w:val="clear" w:color="auto" w:fill="FFFFFF"/>
        <w:spacing w:before="0" w:beforeAutospacing="0" w:after="0" w:afterAutospacing="0"/>
        <w:ind w:firstLine="709"/>
        <w:contextualSpacing/>
        <w:jc w:val="both"/>
        <w:rPr>
          <w:sz w:val="28"/>
          <w:szCs w:val="28"/>
        </w:rPr>
      </w:pPr>
      <w:r>
        <w:rPr>
          <w:sz w:val="28"/>
          <w:szCs w:val="28"/>
        </w:rPr>
        <w:t xml:space="preserve">Социально-экономический аспект охватывает прямые торговые и деловые контакты между предприятиями, развитие транспортной инфраструктуры, а также сотрудничество в образовании и здравоохранении через академические обмены и совместные проекты, что в целом создает взаимовыгодные условия для роста городской экономики и благополучия граждан. </w:t>
      </w:r>
    </w:p>
    <w:p w:rsidR="00536D59" w:rsidRDefault="00AC4DBB" w:rsidP="000E2370">
      <w:pPr>
        <w:pStyle w:val="ds-markdown-paragraph"/>
        <w:shd w:val="clear" w:color="auto" w:fill="FFFFFF"/>
        <w:spacing w:before="0" w:beforeAutospacing="0" w:after="0" w:afterAutospacing="0"/>
        <w:ind w:firstLine="709"/>
        <w:contextualSpacing/>
        <w:jc w:val="both"/>
        <w:rPr>
          <w:sz w:val="28"/>
          <w:szCs w:val="28"/>
        </w:rPr>
      </w:pPr>
      <w:r>
        <w:rPr>
          <w:sz w:val="28"/>
          <w:szCs w:val="28"/>
        </w:rPr>
        <w:t xml:space="preserve">Одновременно движение способствует повышению роли местного самоуправления, так как установление и поддержание побратимских связей осуществляется непосредственно городскими властями и гражданским обществом. Это позволяет принимать ответственные решения на местном уровне, развивая самостоятельность регионов, что соответствует общему курсу на децентрализацию и усиление полномочий местных исполнительных комитетов, закрепленному, в частности, в Указе Президента №74 от 1 марта 2025 года </w:t>
      </w:r>
      <w:r>
        <w:rPr>
          <w:sz w:val="28"/>
          <w:lang w:val="be-BY"/>
        </w:rPr>
        <w:t>[7]</w:t>
      </w:r>
      <w:r>
        <w:rPr>
          <w:sz w:val="28"/>
          <w:szCs w:val="28"/>
        </w:rPr>
        <w:t>.</w:t>
      </w:r>
    </w:p>
    <w:p w:rsidR="00536D59" w:rsidRDefault="00AC4DBB" w:rsidP="000E2370">
      <w:pPr>
        <w:pStyle w:val="ds-markdown-paragraph"/>
        <w:shd w:val="clear" w:color="auto" w:fill="FFFFFF"/>
        <w:spacing w:before="0" w:beforeAutospacing="0" w:after="0" w:afterAutospacing="0"/>
        <w:ind w:firstLine="709"/>
        <w:contextualSpacing/>
        <w:jc w:val="both"/>
        <w:rPr>
          <w:sz w:val="28"/>
          <w:szCs w:val="28"/>
        </w:rPr>
      </w:pPr>
      <w:r>
        <w:rPr>
          <w:sz w:val="28"/>
          <w:szCs w:val="28"/>
        </w:rPr>
        <w:t xml:space="preserve">Культурный обмен выступает ещё одной значимой целью, обеспечивая популяризацию местных традиций через фестивали, выставки и совместные мероприятия. Этот канал взаимодействия обладает особой устойчивостью, сохраняя свою актуальность даже в периоды межгосударственной напряженности, служа мостом между народами. </w:t>
      </w:r>
    </w:p>
    <w:p w:rsidR="00536D59" w:rsidRDefault="00AC4DBB" w:rsidP="000E2370">
      <w:pPr>
        <w:pStyle w:val="ds-markdown-paragraph"/>
        <w:shd w:val="clear" w:color="auto" w:fill="FFFFFF"/>
        <w:spacing w:before="0" w:beforeAutospacing="0" w:after="0" w:afterAutospacing="0"/>
        <w:ind w:firstLine="709"/>
        <w:contextualSpacing/>
        <w:jc w:val="both"/>
        <w:rPr>
          <w:sz w:val="28"/>
          <w:szCs w:val="28"/>
        </w:rPr>
      </w:pPr>
      <w:r>
        <w:rPr>
          <w:sz w:val="28"/>
          <w:szCs w:val="28"/>
        </w:rPr>
        <w:t xml:space="preserve">Наконец, формирование позитивного имиджа Беларуси и её отдельных городов приобретает стратегическое значение в условиях информационных вызовов и санкционного давления на нашу страну. Побратимские связи позволяют создавать объективное представление о Беларуси через доверие к конкретному городу и его жителям, что в </w:t>
      </w:r>
      <w:r>
        <w:rPr>
          <w:sz w:val="28"/>
          <w:szCs w:val="28"/>
        </w:rPr>
        <w:lastRenderedPageBreak/>
        <w:t>перспективе способствует улучшению международного климата, развитию туризма и экономических связей.</w:t>
      </w:r>
    </w:p>
    <w:p w:rsidR="00536D59" w:rsidRDefault="00AC4DBB" w:rsidP="000E2370">
      <w:pPr>
        <w:pStyle w:val="ds-markdown-paragraph"/>
        <w:shd w:val="clear" w:color="auto" w:fill="FFFFFF"/>
        <w:spacing w:before="0" w:beforeAutospacing="0" w:after="0" w:afterAutospacing="0"/>
        <w:ind w:firstLine="709"/>
        <w:contextualSpacing/>
        <w:jc w:val="both"/>
        <w:rPr>
          <w:sz w:val="28"/>
          <w:szCs w:val="28"/>
        </w:rPr>
      </w:pPr>
      <w:r>
        <w:rPr>
          <w:sz w:val="28"/>
          <w:szCs w:val="28"/>
        </w:rPr>
        <w:t>Таким образом, движение городов-побратимов представляет собой многофункциональный инструмент международного взаимодействия. В современных условиях, особенно на фоне мировой конфронтации, оно открывает для нашей страны значительные перспективы для восстановления и расширения внешних контактов, позволяя преодолевать барьеры на уровне прямого диалога между представителями городов.</w:t>
      </w:r>
    </w:p>
    <w:p w:rsidR="00536D59" w:rsidRDefault="00536D59">
      <w:pPr>
        <w:spacing w:after="0" w:line="240" w:lineRule="auto"/>
        <w:contextualSpacing/>
        <w:jc w:val="both"/>
        <w:rPr>
          <w:rFonts w:ascii="Times New Roman" w:hAnsi="Times New Roman" w:cs="Times New Roman"/>
          <w:sz w:val="28"/>
          <w:szCs w:val="28"/>
        </w:rPr>
      </w:pPr>
    </w:p>
    <w:p w:rsidR="00536D59" w:rsidRPr="00AB4FD4" w:rsidRDefault="00AC4DBB" w:rsidP="000E2370">
      <w:pPr>
        <w:spacing w:after="0" w:line="240" w:lineRule="auto"/>
        <w:ind w:left="284"/>
        <w:jc w:val="center"/>
        <w:rPr>
          <w:rFonts w:ascii="Times New Roman" w:hAnsi="Times New Roman" w:cs="Times New Roman"/>
          <w:b/>
          <w:bCs/>
          <w:sz w:val="28"/>
          <w:szCs w:val="28"/>
        </w:rPr>
      </w:pPr>
      <w:r w:rsidRPr="00AB4FD4">
        <w:rPr>
          <w:rFonts w:ascii="Times New Roman" w:hAnsi="Times New Roman" w:cs="Times New Roman"/>
          <w:b/>
          <w:bCs/>
          <w:sz w:val="28"/>
          <w:szCs w:val="28"/>
        </w:rPr>
        <w:t>Список литературы</w:t>
      </w:r>
    </w:p>
    <w:p w:rsidR="00536D59" w:rsidRDefault="000E2370" w:rsidP="000E2370">
      <w:pPr>
        <w:pStyle w:val="aa"/>
        <w:ind w:left="284" w:firstLine="709"/>
        <w:contextualSpacing/>
        <w:jc w:val="both"/>
        <w:rPr>
          <w:rFonts w:ascii="Times New Roman" w:hAnsi="Times New Roman" w:cs="Times New Roman"/>
          <w:sz w:val="24"/>
          <w:szCs w:val="28"/>
        </w:rPr>
      </w:pPr>
      <w:r>
        <w:rPr>
          <w:rFonts w:ascii="Times New Roman" w:hAnsi="Times New Roman" w:cs="Times New Roman"/>
          <w:sz w:val="24"/>
          <w:szCs w:val="28"/>
        </w:rPr>
        <w:t xml:space="preserve">1. </w:t>
      </w:r>
      <w:r w:rsidR="00AC4DBB">
        <w:rPr>
          <w:rFonts w:ascii="Times New Roman" w:hAnsi="Times New Roman" w:cs="Times New Roman"/>
          <w:sz w:val="24"/>
          <w:szCs w:val="28"/>
        </w:rPr>
        <w:t>Плотникова, О. В. Международные связи регионов государств: актуальность и степень исследования проблемы/ О. В. Плотникова // Журнал Власть. – 2011. - № 4. – С. 147-151</w:t>
      </w:r>
    </w:p>
    <w:p w:rsidR="00536D59" w:rsidRDefault="000E2370" w:rsidP="000E2370">
      <w:pPr>
        <w:pStyle w:val="aa"/>
        <w:ind w:left="284" w:firstLine="709"/>
        <w:contextualSpacing/>
        <w:jc w:val="both"/>
        <w:rPr>
          <w:rFonts w:ascii="Times New Roman" w:hAnsi="Times New Roman" w:cs="Times New Roman"/>
          <w:sz w:val="24"/>
          <w:szCs w:val="28"/>
        </w:rPr>
      </w:pPr>
      <w:r>
        <w:rPr>
          <w:rFonts w:ascii="Times New Roman" w:hAnsi="Times New Roman" w:cs="Times New Roman"/>
          <w:sz w:val="24"/>
          <w:szCs w:val="28"/>
        </w:rPr>
        <w:t xml:space="preserve">2. </w:t>
      </w:r>
      <w:r w:rsidR="00AC4DBB">
        <w:rPr>
          <w:rFonts w:ascii="Times New Roman" w:hAnsi="Times New Roman" w:cs="Times New Roman"/>
          <w:sz w:val="24"/>
          <w:szCs w:val="28"/>
        </w:rPr>
        <w:t>Менон, Дж. Региональное сотрудничество и интеграция/ Дж. Менон // Журнал Азиатского банка развития. – 2011. - № 4. – С. 1-3</w:t>
      </w:r>
      <w:r>
        <w:rPr>
          <w:rFonts w:ascii="Times New Roman" w:hAnsi="Times New Roman" w:cs="Times New Roman"/>
          <w:sz w:val="24"/>
          <w:szCs w:val="28"/>
        </w:rPr>
        <w:t>.</w:t>
      </w:r>
    </w:p>
    <w:p w:rsidR="00536D59" w:rsidRDefault="000E2370" w:rsidP="000E2370">
      <w:pPr>
        <w:pStyle w:val="1"/>
        <w:shd w:val="clear" w:color="auto" w:fill="FDFDFD"/>
        <w:spacing w:before="0" w:line="240" w:lineRule="auto"/>
        <w:ind w:left="284" w:firstLine="709"/>
        <w:contextualSpacing/>
        <w:jc w:val="both"/>
        <w:rPr>
          <w:rFonts w:ascii="Times New Roman" w:hAnsi="Times New Roman" w:cs="Times New Roman"/>
          <w:b/>
          <w:color w:val="auto"/>
          <w:sz w:val="24"/>
          <w:szCs w:val="28"/>
        </w:rPr>
      </w:pPr>
      <w:r>
        <w:rPr>
          <w:rFonts w:ascii="Times New Roman" w:hAnsi="Times New Roman" w:cs="Times New Roman"/>
          <w:color w:val="auto"/>
          <w:sz w:val="24"/>
          <w:szCs w:val="28"/>
        </w:rPr>
        <w:t xml:space="preserve">3. </w:t>
      </w:r>
      <w:r w:rsidR="00AC4DBB">
        <w:rPr>
          <w:rFonts w:ascii="Times New Roman" w:hAnsi="Times New Roman" w:cs="Times New Roman"/>
          <w:color w:val="auto"/>
          <w:sz w:val="24"/>
          <w:szCs w:val="28"/>
        </w:rPr>
        <w:t>Межрегиональное сотрудничество [Электронный ресурс] // Евразийская экономическая комиссия – 14.08.2024. – Режим доступа: &lt;https://eec.eaeunion.org/comission/department/dep_makroec_pol/interregional_cooperation/&gt;. – Дата доступа: 03.03.2026.</w:t>
      </w:r>
    </w:p>
    <w:p w:rsidR="00536D59" w:rsidRDefault="000E2370" w:rsidP="000E2370">
      <w:pPr>
        <w:pStyle w:val="aa"/>
        <w:ind w:left="284" w:firstLine="709"/>
        <w:contextualSpacing/>
        <w:jc w:val="both"/>
        <w:rPr>
          <w:rFonts w:ascii="Times New Roman" w:hAnsi="Times New Roman" w:cs="Times New Roman"/>
          <w:sz w:val="24"/>
          <w:szCs w:val="28"/>
        </w:rPr>
      </w:pPr>
      <w:r>
        <w:rPr>
          <w:rFonts w:ascii="Times New Roman" w:hAnsi="Times New Roman" w:cs="Times New Roman"/>
          <w:sz w:val="24"/>
          <w:szCs w:val="28"/>
        </w:rPr>
        <w:t xml:space="preserve">4. </w:t>
      </w:r>
      <w:r w:rsidR="00AC4DBB">
        <w:rPr>
          <w:rFonts w:ascii="Times New Roman" w:hAnsi="Times New Roman" w:cs="Times New Roman"/>
          <w:sz w:val="24"/>
          <w:szCs w:val="28"/>
        </w:rPr>
        <w:t>Секушина, И. А. Взаимодействие малых и средних городов в пространстве региона/ И. А. Секушина // Журнал Проблемы развития территорий. – 2020. - № 6. – С. 121-137</w:t>
      </w:r>
    </w:p>
    <w:p w:rsidR="00536D59" w:rsidRPr="000E2370" w:rsidRDefault="000E2370" w:rsidP="000E2370">
      <w:pPr>
        <w:spacing w:after="0" w:line="240" w:lineRule="auto"/>
        <w:ind w:left="284" w:firstLine="709"/>
        <w:jc w:val="both"/>
        <w:rPr>
          <w:rFonts w:ascii="Times New Roman" w:hAnsi="Times New Roman" w:cs="Times New Roman"/>
          <w:szCs w:val="28"/>
        </w:rPr>
      </w:pPr>
      <w:r>
        <w:rPr>
          <w:rFonts w:ascii="Times New Roman" w:hAnsi="Times New Roman" w:cs="Times New Roman"/>
          <w:szCs w:val="28"/>
        </w:rPr>
        <w:t xml:space="preserve">5. </w:t>
      </w:r>
      <w:r w:rsidR="00AC4DBB" w:rsidRPr="000E2370">
        <w:rPr>
          <w:rFonts w:ascii="Times New Roman" w:hAnsi="Times New Roman" w:cs="Times New Roman"/>
          <w:szCs w:val="28"/>
        </w:rPr>
        <w:t>Побратимское движение – маленькие звенья большой дружбы [Электронный ресурс] // БЕЛТА – 31.12.2020. - Режим доступа: &lt;https://belta.by/society/view/pobratimskoe-dvizhenie-malenkie-zvenjja-bolshoj-druzhby-422502-2020/&gt;. – Дата доступа: 03.03.2026</w:t>
      </w:r>
    </w:p>
    <w:p w:rsidR="00536D59" w:rsidRPr="000E2370" w:rsidRDefault="000E2370" w:rsidP="000E2370">
      <w:pPr>
        <w:spacing w:after="0" w:line="240" w:lineRule="auto"/>
        <w:ind w:left="284" w:firstLine="709"/>
        <w:jc w:val="both"/>
        <w:rPr>
          <w:rFonts w:ascii="Times New Roman" w:hAnsi="Times New Roman" w:cs="Times New Roman"/>
          <w:szCs w:val="28"/>
        </w:rPr>
      </w:pPr>
      <w:r>
        <w:rPr>
          <w:rFonts w:ascii="Times New Roman" w:hAnsi="Times New Roman" w:cs="Times New Roman"/>
          <w:szCs w:val="28"/>
        </w:rPr>
        <w:t xml:space="preserve">6. </w:t>
      </w:r>
      <w:r w:rsidR="00AC4DBB" w:rsidRPr="000E2370">
        <w:rPr>
          <w:rFonts w:ascii="Times New Roman" w:hAnsi="Times New Roman" w:cs="Times New Roman"/>
          <w:szCs w:val="28"/>
        </w:rPr>
        <w:t>«Породненные города» инициируют в Беларуси встречу городов-побратимов стран ШОС [Электронный ресурс] // БЕЛТА – 31.05.2022. - Режим доступа: &lt;https://belta.by/society/view/belorusskie-porodnennye-goroda-initsiirujut-provesti-v-belarusi-vstrechu-gorodov-pobratimov-stran-shos-505187-2022/&gt;. – Дата доступа: 04.03.2026</w:t>
      </w:r>
    </w:p>
    <w:p w:rsidR="00536D59" w:rsidRPr="000E2370" w:rsidRDefault="000E2370" w:rsidP="000E2370">
      <w:pPr>
        <w:spacing w:after="0" w:line="240" w:lineRule="auto"/>
        <w:ind w:left="284" w:firstLine="709"/>
        <w:jc w:val="both"/>
        <w:rPr>
          <w:rFonts w:ascii="Times New Roman" w:hAnsi="Times New Roman" w:cs="Times New Roman"/>
          <w:szCs w:val="28"/>
        </w:rPr>
      </w:pPr>
      <w:r>
        <w:rPr>
          <w:rFonts w:ascii="Times New Roman" w:hAnsi="Times New Roman" w:cs="Times New Roman"/>
          <w:szCs w:val="28"/>
        </w:rPr>
        <w:t xml:space="preserve">7. </w:t>
      </w:r>
      <w:r w:rsidR="00AC4DBB" w:rsidRPr="000E2370">
        <w:rPr>
          <w:rFonts w:ascii="Times New Roman" w:hAnsi="Times New Roman" w:cs="Times New Roman"/>
          <w:szCs w:val="28"/>
        </w:rPr>
        <w:t xml:space="preserve">Новые полномочия для исполкомов базового уровня [Электронный ресурс] // </w:t>
      </w:r>
      <w:r w:rsidR="00AC4DBB" w:rsidRPr="000E2370">
        <w:rPr>
          <w:rFonts w:ascii="Times New Roman" w:hAnsi="Times New Roman" w:cs="Times New Roman"/>
          <w:szCs w:val="28"/>
          <w:lang w:val="en-US"/>
        </w:rPr>
        <w:t>Pravo</w:t>
      </w:r>
      <w:r w:rsidR="00AC4DBB" w:rsidRPr="000E2370">
        <w:rPr>
          <w:rFonts w:ascii="Times New Roman" w:hAnsi="Times New Roman" w:cs="Times New Roman"/>
          <w:szCs w:val="28"/>
        </w:rPr>
        <w:t>.</w:t>
      </w:r>
      <w:r w:rsidR="00AC4DBB" w:rsidRPr="000E2370">
        <w:rPr>
          <w:rFonts w:ascii="Times New Roman" w:hAnsi="Times New Roman" w:cs="Times New Roman"/>
          <w:szCs w:val="28"/>
          <w:lang w:val="en-US"/>
        </w:rPr>
        <w:t>by</w:t>
      </w:r>
      <w:r w:rsidR="00AC4DBB" w:rsidRPr="000E2370">
        <w:rPr>
          <w:rFonts w:ascii="Times New Roman" w:hAnsi="Times New Roman" w:cs="Times New Roman"/>
          <w:szCs w:val="28"/>
        </w:rPr>
        <w:t xml:space="preserve"> – 25.02.2025. - Режим доступа: &lt;https://pravo.by/novosti/obshchestvenno-politicheskie-i-v-oblasti-prava/2025/february/87673/&gt;. – Дата доступа: 04.03.2026</w:t>
      </w:r>
      <w:r>
        <w:rPr>
          <w:rFonts w:ascii="Times New Roman" w:hAnsi="Times New Roman" w:cs="Times New Roman"/>
          <w:szCs w:val="28"/>
        </w:rPr>
        <w:t>.</w:t>
      </w:r>
    </w:p>
    <w:p w:rsidR="00536D59" w:rsidRDefault="00536D59" w:rsidP="000E2370">
      <w:pPr>
        <w:ind w:left="709"/>
        <w:rPr>
          <w:rFonts w:ascii="Times New Roman" w:hAnsi="Times New Roman" w:cs="Times New Roman"/>
        </w:rPr>
      </w:pPr>
    </w:p>
    <w:p w:rsidR="00536D59" w:rsidRDefault="00AC4DBB" w:rsidP="00933674">
      <w:pPr>
        <w:spacing w:after="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БИОИНДИКАЦИОННАЯ ОЦЕНКА САПРОБНОСТИ ГОРОДСКИХ ВОДОЁМОВ Г. МОГИЛЁВА: ЭКОЛОГИЧЕСКИЙ МОНИТОРИНГ В СИСТЕМЕ УСТОЙЧИВОГО РАЗВИТИЯ РЕГИОНА</w:t>
      </w:r>
    </w:p>
    <w:p w:rsidR="00536D59" w:rsidRDefault="00536D59" w:rsidP="00933674">
      <w:pPr>
        <w:spacing w:after="0" w:line="240" w:lineRule="auto"/>
        <w:ind w:firstLine="709"/>
        <w:jc w:val="center"/>
        <w:rPr>
          <w:rFonts w:ascii="Times New Roman" w:eastAsia="Times New Roman" w:hAnsi="Times New Roman" w:cs="Times New Roman"/>
          <w:sz w:val="28"/>
          <w:szCs w:val="28"/>
        </w:rPr>
      </w:pPr>
    </w:p>
    <w:p w:rsidR="00536D59" w:rsidRDefault="00AC4DBB" w:rsidP="00933674">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Щербакова Полина Сергеевна</w:t>
      </w:r>
    </w:p>
    <w:p w:rsidR="00536D59" w:rsidRDefault="00AC4DBB" w:rsidP="00933674">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 факультета математики и естествознания</w:t>
      </w:r>
    </w:p>
    <w:p w:rsidR="00536D59" w:rsidRDefault="00AC4DBB" w:rsidP="00933674">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учреждение образования «Могилевский государственный университет имени А.А. Кулешова»</w:t>
      </w:r>
    </w:p>
    <w:p w:rsidR="00536D59" w:rsidRDefault="00AC4DBB" w:rsidP="00933674">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Могилев, Беларусь)</w:t>
      </w:r>
    </w:p>
    <w:p w:rsidR="00536D59" w:rsidRPr="00933674" w:rsidRDefault="00BC35BD" w:rsidP="00933674">
      <w:pPr>
        <w:spacing w:after="0" w:line="240" w:lineRule="auto"/>
        <w:ind w:firstLine="709"/>
        <w:jc w:val="center"/>
        <w:rPr>
          <w:rFonts w:ascii="Times New Roman" w:eastAsia="Times New Roman" w:hAnsi="Times New Roman" w:cs="Times New Roman"/>
          <w:sz w:val="28"/>
          <w:szCs w:val="28"/>
        </w:rPr>
      </w:pPr>
      <w:hyperlink r:id="rId13" w:history="1">
        <w:r w:rsidR="00AC4DBB" w:rsidRPr="00933674">
          <w:rPr>
            <w:rStyle w:val="a4"/>
            <w:rFonts w:ascii="Times New Roman" w:eastAsia="Times New Roman" w:hAnsi="Times New Roman" w:cs="Times New Roman"/>
            <w:color w:val="auto"/>
            <w:sz w:val="28"/>
            <w:szCs w:val="28"/>
            <w:u w:val="none"/>
          </w:rPr>
          <w:t>PS.Shcherbakova@yandex.by</w:t>
        </w:r>
      </w:hyperlink>
    </w:p>
    <w:p w:rsidR="00536D59" w:rsidRDefault="00536D59" w:rsidP="00933674">
      <w:pPr>
        <w:spacing w:after="0" w:line="240" w:lineRule="auto"/>
        <w:ind w:firstLine="709"/>
        <w:jc w:val="center"/>
        <w:rPr>
          <w:rFonts w:ascii="Times New Roman" w:eastAsia="Times New Roman" w:hAnsi="Times New Roman" w:cs="Times New Roman"/>
          <w:sz w:val="28"/>
          <w:szCs w:val="28"/>
        </w:rPr>
      </w:pPr>
    </w:p>
    <w:p w:rsidR="00536D59" w:rsidRDefault="00AC4DBB" w:rsidP="00933674">
      <w:pPr>
        <w:spacing w:after="0" w:line="240" w:lineRule="auto"/>
        <w:ind w:firstLine="709"/>
        <w:jc w:val="both"/>
        <w:rPr>
          <w:rFonts w:ascii="Times New Roman" w:eastAsia="Times New Roman" w:hAnsi="Times New Roman" w:cs="Times New Roman"/>
          <w:sz w:val="24"/>
          <w:szCs w:val="28"/>
        </w:rPr>
      </w:pPr>
      <w:r>
        <w:rPr>
          <w:rFonts w:ascii="Times New Roman" w:eastAsia="Times New Roman" w:hAnsi="Times New Roman" w:cs="Times New Roman"/>
          <w:b/>
          <w:bCs/>
          <w:sz w:val="24"/>
          <w:szCs w:val="28"/>
        </w:rPr>
        <w:t>Аннотация.</w:t>
      </w:r>
      <w:r>
        <w:rPr>
          <w:rFonts w:ascii="Times New Roman" w:eastAsia="Times New Roman" w:hAnsi="Times New Roman" w:cs="Times New Roman"/>
          <w:sz w:val="24"/>
          <w:szCs w:val="28"/>
        </w:rPr>
        <w:t xml:space="preserve"> Работа посвящена вопросам экологического мониторинга городских водоемов г. Могилева с использованием методов биоиндикации и оценки </w:t>
      </w:r>
      <w:r>
        <w:rPr>
          <w:rFonts w:ascii="Times New Roman" w:eastAsia="Times New Roman" w:hAnsi="Times New Roman" w:cs="Times New Roman"/>
          <w:sz w:val="24"/>
          <w:szCs w:val="28"/>
        </w:rPr>
        <w:lastRenderedPageBreak/>
        <w:t>сапробности. Обосновывается значимость контроля качества поверхностных вод для обеспечения экологической безопасности и устойчивого развития региона. Рассматриваются перспективы внедрения биологических методов оценки в общую систему регионального природопользования. Предложенные подходы способствуют реализации целей устойчивого развития на местном уровне.</w:t>
      </w:r>
    </w:p>
    <w:p w:rsidR="00536D59" w:rsidRDefault="00AC4DBB" w:rsidP="00933674">
      <w:pPr>
        <w:spacing w:after="0" w:line="240" w:lineRule="auto"/>
        <w:ind w:firstLine="709"/>
        <w:jc w:val="both"/>
        <w:rPr>
          <w:rFonts w:ascii="Times New Roman" w:eastAsia="Times New Roman" w:hAnsi="Times New Roman" w:cs="Times New Roman"/>
          <w:sz w:val="24"/>
          <w:szCs w:val="28"/>
        </w:rPr>
      </w:pPr>
      <w:r>
        <w:rPr>
          <w:rFonts w:ascii="Times New Roman" w:eastAsia="Times New Roman" w:hAnsi="Times New Roman" w:cs="Times New Roman"/>
          <w:b/>
          <w:bCs/>
          <w:sz w:val="24"/>
          <w:szCs w:val="28"/>
        </w:rPr>
        <w:t>Ключевые слова.</w:t>
      </w:r>
      <w:r>
        <w:rPr>
          <w:rFonts w:ascii="Times New Roman" w:eastAsia="Times New Roman" w:hAnsi="Times New Roman" w:cs="Times New Roman"/>
          <w:sz w:val="24"/>
          <w:szCs w:val="28"/>
        </w:rPr>
        <w:t xml:space="preserve"> Биоиндикация, сапробность, экологический мониторинг, качество воды, городские водоемы, Могилев, устойчивое развитие.</w:t>
      </w:r>
    </w:p>
    <w:p w:rsidR="00536D59" w:rsidRDefault="00536D59" w:rsidP="00933674">
      <w:pPr>
        <w:spacing w:after="0" w:line="240" w:lineRule="auto"/>
        <w:ind w:firstLine="709"/>
        <w:jc w:val="both"/>
        <w:rPr>
          <w:rFonts w:ascii="Times New Roman" w:eastAsia="Times New Roman" w:hAnsi="Times New Roman" w:cs="Times New Roman"/>
          <w:sz w:val="28"/>
          <w:szCs w:val="28"/>
        </w:rPr>
      </w:pPr>
    </w:p>
    <w:p w:rsidR="00536D59" w:rsidRDefault="00AC4DBB" w:rsidP="009336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Традиционные физико-химические методы оценки качества воды дают лишь точечную картину состояния водоема на момент отбора проб. Для получения комплексной и объективной информации о здоровье водных экосистем в условиях прогрессирующей урбанизации необходимо применение биологических методов мониторинга. Биоиндикационная оценка сапробности позволяет отслеживать долгосрочные изменения качества водной среды под воздействием различных антропогенных факторов. Это особенно актуально для г. Могилева, где городские водоемы испытывают значительную техногенную и рекреационную нагрузку.</w:t>
      </w:r>
    </w:p>
    <w:p w:rsidR="00536D59" w:rsidRDefault="00AC4DBB" w:rsidP="009336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контексте проблем устойчивого развития регионов Республики Беларусь и сопредельных стран, экологический мониторинг выступает одним из ключевых инструментов рационального управления окружающей средой. Оценка сапробности водоемов г. Могилева напрямую решает задачи естественнонаучного направления для устойчивого развития. Использование живых организмов в качестве индикаторов позволяет не только фиксировать факт загрязнения, но и оценивать его реальные биологические последствия для экосистемы в целом. </w:t>
      </w:r>
    </w:p>
    <w:p w:rsidR="00536D59" w:rsidRDefault="00AC4DBB" w:rsidP="00933674">
      <w:pPr>
        <w:pStyle w:val="af1"/>
        <w:ind w:firstLine="709"/>
        <w:jc w:val="both"/>
        <w:rPr>
          <w:rFonts w:ascii="Times New Roman" w:hAnsi="Times New Roman" w:cs="Times New Roman"/>
          <w:sz w:val="28"/>
          <w:szCs w:val="28"/>
        </w:rPr>
      </w:pPr>
      <w:r>
        <w:rPr>
          <w:rFonts w:ascii="Times New Roman" w:hAnsi="Times New Roman" w:cs="Times New Roman"/>
          <w:sz w:val="28"/>
          <w:szCs w:val="28"/>
        </w:rPr>
        <w:t>В ходе нашего исследования был собран обширный материал, включающий 22 пробы фитопланктона из различных водных объектов города Могилева. Основными объектами исследования стали реки Днепр, Дубровенка, Струшня, а также озера Святое и Печерское, которые представляют разные типы водных экосистем.</w:t>
      </w:r>
      <w:r>
        <w:rPr>
          <w:rFonts w:eastAsiaTheme="minorHAnsi"/>
          <w:lang w:eastAsia="en-US"/>
        </w:rPr>
        <w:t xml:space="preserve"> </w:t>
      </w:r>
      <w:r>
        <w:rPr>
          <w:rFonts w:ascii="Times New Roman" w:hAnsi="Times New Roman" w:cs="Times New Roman"/>
          <w:sz w:val="28"/>
          <w:szCs w:val="28"/>
        </w:rPr>
        <w:t xml:space="preserve">Выбор трех станций отбора проб на реке Дубровенке, в отличие от единичных станций на остальных водоемах, обусловлен ее выраженной гидрологической и морфологической неоднородностью в черте города. В рамках исследования Дубровенка рассматривалась как модельная экосистема для оценки реакции фитопланктона на градиент техногенной трансформации: от относительно естественного участка (точка 1) до зон с измененным водообменом (точка 2) и жестким бетонированием берегов (точка 3). Для остальных исследованных водных объектов, отличающихся более стабильным гидрологическим режимом (р. Днепр, р. Струшня) или относительной однородностью прибрежной зоны (оз. Святое, Печерское), для репрезентативной оценки экологического статуса было достаточно закладки одной станции. Особое внимание уделялось отбору проб из различных биотопов - прибрежной зоны (глубина 0,5-1 м), что обеспечило </w:t>
      </w:r>
      <w:r>
        <w:rPr>
          <w:rFonts w:ascii="Times New Roman" w:hAnsi="Times New Roman" w:cs="Times New Roman"/>
          <w:sz w:val="28"/>
          <w:szCs w:val="28"/>
        </w:rPr>
        <w:lastRenderedPageBreak/>
        <w:t>репрезентативность материала. Каждая проба отбиралась в трехкратной повторности для повышения достоверности результатов.</w:t>
      </w:r>
    </w:p>
    <w:p w:rsidR="00536D59" w:rsidRDefault="00AC4DBB" w:rsidP="00933674">
      <w:pPr>
        <w:pStyle w:val="af1"/>
        <w:ind w:firstLine="709"/>
        <w:jc w:val="both"/>
        <w:rPr>
          <w:rFonts w:ascii="Times New Roman" w:hAnsi="Times New Roman" w:cs="Times New Roman"/>
          <w:sz w:val="28"/>
          <w:szCs w:val="28"/>
        </w:rPr>
      </w:pPr>
      <w:r>
        <w:rPr>
          <w:rFonts w:ascii="Times New Roman" w:hAnsi="Times New Roman" w:cs="Times New Roman"/>
          <w:sz w:val="28"/>
          <w:szCs w:val="28"/>
        </w:rPr>
        <w:t>Методика отбора проб строго соответствовала стандартным гидробиологическим методам. Сразу после отбора пробы маркировались с указанием даты, места отбора, глубины и других параметров, после чего транспортировались в лабораторию.</w:t>
      </w:r>
    </w:p>
    <w:p w:rsidR="00536D59" w:rsidRDefault="00AC4DBB" w:rsidP="00933674">
      <w:pPr>
        <w:pStyle w:val="af1"/>
        <w:ind w:firstLine="709"/>
        <w:jc w:val="both"/>
        <w:rPr>
          <w:rFonts w:ascii="Times New Roman" w:hAnsi="Times New Roman" w:cs="Times New Roman"/>
          <w:sz w:val="28"/>
          <w:szCs w:val="28"/>
        </w:rPr>
      </w:pPr>
      <w:r>
        <w:rPr>
          <w:rFonts w:ascii="Times New Roman" w:hAnsi="Times New Roman" w:cs="Times New Roman"/>
          <w:sz w:val="28"/>
          <w:szCs w:val="28"/>
        </w:rPr>
        <w:t>В лабораторных условиях проводилась тщательная обработка проб. Без предварительного концентрирования материал проб наносили на специальные предметные стекла, предварительно обезжиренные спиртом. Препараты готовились для оперативного изучения.</w:t>
      </w:r>
    </w:p>
    <w:p w:rsidR="00536D59" w:rsidRDefault="00AC4DBB" w:rsidP="00933674">
      <w:pPr>
        <w:pStyle w:val="af1"/>
        <w:ind w:firstLine="709"/>
        <w:jc w:val="both"/>
        <w:rPr>
          <w:rFonts w:ascii="Times New Roman" w:hAnsi="Times New Roman" w:cs="Times New Roman"/>
          <w:sz w:val="28"/>
          <w:szCs w:val="28"/>
        </w:rPr>
      </w:pPr>
      <w:r>
        <w:rPr>
          <w:rFonts w:ascii="Times New Roman" w:hAnsi="Times New Roman" w:cs="Times New Roman"/>
          <w:sz w:val="28"/>
          <w:szCs w:val="28"/>
        </w:rPr>
        <w:t>Микроскопическое исследование проводилось с использованием современных микроскопов для фотофиксации и определения объектов. Одновременно с определение таксономической принадлежности наблюдаемого объекта определялась и его частота встречаемости, что важно для последующего расчета индекса сапробности водного объекта по Пантле и Буку [1].</w:t>
      </w:r>
    </w:p>
    <w:p w:rsidR="00536D59" w:rsidRDefault="00AC4DBB" w:rsidP="00933674">
      <w:pPr>
        <w:pStyle w:val="af1"/>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определения водорослей представлял собой многоэтапную процедуру. На первом этапе проводили прижизненную диагностику подвижных форм, что позволяло сохранить информацию о подвижности и характере движения организмов. Затем анализировали препараты, уделяя особое внимание диагностическим признакам. Определение проводили последовательно: сначала до класса (по пигментации и общей морфологии), затем до рода (по строению клетки). Для каждого этапа использовали соответствующие определители и атласы [2]. </w:t>
      </w:r>
    </w:p>
    <w:p w:rsidR="00536D59" w:rsidRDefault="00AC4DBB" w:rsidP="00933674">
      <w:pPr>
        <w:pStyle w:val="af1"/>
        <w:ind w:firstLine="709"/>
        <w:jc w:val="both"/>
        <w:rPr>
          <w:rFonts w:ascii="Times New Roman" w:hAnsi="Times New Roman" w:cs="Times New Roman"/>
          <w:sz w:val="28"/>
          <w:szCs w:val="28"/>
        </w:rPr>
      </w:pPr>
      <w:r>
        <w:rPr>
          <w:rFonts w:ascii="Times New Roman" w:hAnsi="Times New Roman" w:cs="Times New Roman"/>
          <w:sz w:val="28"/>
          <w:szCs w:val="28"/>
        </w:rPr>
        <w:t>Основными определительными пособиями служили классические работы. Для разных групп водорослей использовали специфические диагностические признаки: у диатомей анализировали структуру панциря, строение пор и форму створок; у зеленых водорослей - форму хлоропласта и особенности клеточной стенки; у цианобактерий - форму трихом и наличие гетероцист.</w:t>
      </w:r>
    </w:p>
    <w:p w:rsidR="00536D59" w:rsidRDefault="00AC4DBB" w:rsidP="00933674">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 исследованных пробах самыми многочисленными по численности представителей являлись отделы зеленых водорослей, диатомовые, реже всего встречались представители отдела цианобактерии и эвгленовые. Все пробы информативны, что позволяет утверждать, что водоросли встречаются во всех пробах фитопланктона из различных водоемов города Могилева.</w:t>
      </w:r>
    </w:p>
    <w:p w:rsidR="00536D59" w:rsidRDefault="00AC4DBB" w:rsidP="009336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основании сведений о видовом составе гидробионтов, найденных в тех или иных водах, можно составить представление о том, насколько последние чисты или загрязнены. В 1908 и 1909 гг. Кольквитцом и Марссоном были опубликованы материалы по оценке степени загрязнения вод разлагающимися органическими веществами, или сапробности. Сапробность (от греческого sapros – гнилой) – физиолого-биохимические свойства организма (сапробионта), обусловливающего его способность </w:t>
      </w:r>
      <w:r>
        <w:rPr>
          <w:rFonts w:ascii="Times New Roman" w:eastAsia="Times New Roman" w:hAnsi="Times New Roman" w:cs="Times New Roman"/>
          <w:sz w:val="28"/>
          <w:szCs w:val="28"/>
        </w:rPr>
        <w:lastRenderedPageBreak/>
        <w:t xml:space="preserve">обитать в воде с тем или иным содержанием органических веществ. Кольквитц и Марссон изучая различные водоемы, установили 4 зоны сапробности: </w:t>
      </w:r>
    </w:p>
    <w:p w:rsidR="00536D59" w:rsidRDefault="00AC4DBB" w:rsidP="009336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Полисапробная зона. Содержится значительное количество нестойких органических веществ и продуктов их анаэробного распада. Много белковых веществ. Кислород поступает в воду главным образом за счет атмосферной реаэрации и расходуется полностью на окисление. В воде присутствует сероводород и метан. На дне кислорода нет. Индекс сапробности 1,00-1,50. </w:t>
      </w:r>
    </w:p>
    <w:p w:rsidR="00536D59" w:rsidRDefault="00AC4DBB" w:rsidP="009336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sym w:font="Symbol" w:char="F061"/>
      </w:r>
      <w:r>
        <w:rPr>
          <w:rFonts w:ascii="Times New Roman" w:eastAsia="Times New Roman" w:hAnsi="Times New Roman" w:cs="Times New Roman"/>
          <w:sz w:val="28"/>
          <w:szCs w:val="28"/>
        </w:rPr>
        <w:t>-мезосапробная зона. Начинается аэробный распад органических веществ, образуется аммиак, углекислота, кислорода мало, сероводорода и метана нет. БПК составляет десятки мг/л. Содержатся организмы, приспособленные к недостатку кислорода и высокому содержанию углекислоты. В илах много тубифицид и личинок хирономид.</w:t>
      </w:r>
      <w:r>
        <w:rPr>
          <w:sz w:val="28"/>
          <w:szCs w:val="28"/>
        </w:rPr>
        <w:t xml:space="preserve"> </w:t>
      </w:r>
      <w:r>
        <w:rPr>
          <w:rFonts w:ascii="Times New Roman" w:eastAsia="Times New Roman" w:hAnsi="Times New Roman" w:cs="Times New Roman"/>
          <w:sz w:val="28"/>
          <w:szCs w:val="28"/>
        </w:rPr>
        <w:t>Индекс сапробности 1,51-2,50.</w:t>
      </w:r>
    </w:p>
    <w:p w:rsidR="00536D59" w:rsidRDefault="00AC4DBB" w:rsidP="009336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w:t>
      </w:r>
      <w:r>
        <w:rPr>
          <w:rFonts w:ascii="Times New Roman" w:eastAsia="Times New Roman" w:hAnsi="Times New Roman" w:cs="Times New Roman"/>
          <w:sz w:val="28"/>
          <w:szCs w:val="28"/>
        </w:rPr>
        <w:sym w:font="Symbol" w:char="F062"/>
      </w:r>
      <w:r>
        <w:rPr>
          <w:rFonts w:ascii="Times New Roman" w:eastAsia="Times New Roman" w:hAnsi="Times New Roman" w:cs="Times New Roman"/>
          <w:sz w:val="28"/>
          <w:szCs w:val="28"/>
        </w:rPr>
        <w:t>-мезосапробная зона. Нет стойких органических веществ, произошла полная минерализация. Содержание кислорода и углекислоты колеблется в зависимости от времени суток: днем избыток кислорода, дефицит углекислоты, ночью - наоборот. Много организмов с автотрофным питанием, наблюдается цветение воды. Индекс сапробности 2,51-3,50.</w:t>
      </w:r>
    </w:p>
    <w:p w:rsidR="00536D59" w:rsidRDefault="00AC4DBB" w:rsidP="009336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Олигосапробная зона. Чистые воды, соединения азота в форме нитратов, вода насыщена кислородом; СО2 мало, сероводорода нет. Это практически чистые водоемы. Цветения не бывает. На дне мало детрита, автотрофных организмов и бентосных животных. Индекс сапробности больше 3.50.</w:t>
      </w:r>
    </w:p>
    <w:p w:rsidR="00536D59" w:rsidRDefault="00AC4DBB" w:rsidP="009336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экологического состояния водных объектов г. Могилева методом биоиндикации выявила, что значения индекса сапробности Пантле-Букка находятся в диапазоне 2,138–2,559, что соответствует зоне β-мезосапробности. Максимальная степень органического загрязнения отмечена для водотока р. Струшня (2,559), а минимальная — для контрольного створа р. Дубровенка №1 (2,138) и оз. Святое (2,155). Пространственная динамика индексов на р. Дубровенка иллюстрирует закономерное снижение качества водной среды вниз по течению в условиях нарастающей антропогенной нагрузки. Воды р. Днепр и водохр. Печерского также характеризуются умеренным уровнем сапробного загрязнения (S=2,325 и 2,461 соответственно).</w:t>
      </w:r>
    </w:p>
    <w:p w:rsidR="00933674" w:rsidRDefault="00933674" w:rsidP="00933674">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В целом можно заключить, что сапробность (независимо от применяемого метода ее оценки) является интегральным показателем органико-кислородного баланса в данной экосистеме (водоеме и биотопе). Считать ее прямой функцией антропогенного загрязнения водоема нельзя. Как показано выше, сапробность зависит от многих локальных и </w:t>
      </w:r>
      <w:r>
        <w:rPr>
          <w:rFonts w:ascii="Times New Roman" w:hAnsi="Times New Roman" w:cs="Times New Roman"/>
          <w:sz w:val="28"/>
          <w:szCs w:val="28"/>
        </w:rPr>
        <w:lastRenderedPageBreak/>
        <w:t>региональных факторов, и даже влияние антропогенной нагрузки в значительной мере опосредовано этими факторами.</w:t>
      </w:r>
    </w:p>
    <w:p w:rsidR="00933674" w:rsidRDefault="00933674" w:rsidP="00933674">
      <w:pPr>
        <w:spacing w:after="0" w:line="240" w:lineRule="auto"/>
        <w:ind w:firstLine="709"/>
        <w:jc w:val="both"/>
        <w:rPr>
          <w:rFonts w:ascii="Times New Roman" w:eastAsia="Times New Roman" w:hAnsi="Times New Roman" w:cs="Times New Roman"/>
          <w:sz w:val="24"/>
          <w:szCs w:val="28"/>
        </w:rPr>
      </w:pPr>
    </w:p>
    <w:p w:rsidR="00536D59" w:rsidRDefault="00AC4DBB" w:rsidP="00933674">
      <w:pPr>
        <w:spacing w:after="0" w:line="240" w:lineRule="auto"/>
        <w:ind w:firstLine="709"/>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Таблица 1.</w:t>
      </w:r>
      <w:r w:rsidR="00933674">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Индексы сапробности водных объектов г. Могилева (по Пантл</w:t>
      </w:r>
      <w:r w:rsidR="00933674">
        <w:rPr>
          <w:rFonts w:ascii="Times New Roman" w:eastAsia="Times New Roman" w:hAnsi="Times New Roman" w:cs="Times New Roman"/>
          <w:sz w:val="24"/>
          <w:szCs w:val="28"/>
        </w:rPr>
        <w:t>е</w:t>
      </w:r>
      <w:r>
        <w:rPr>
          <w:rFonts w:ascii="Times New Roman" w:eastAsia="Times New Roman" w:hAnsi="Times New Roman" w:cs="Times New Roman"/>
          <w:sz w:val="24"/>
          <w:szCs w:val="28"/>
        </w:rPr>
        <w:t xml:space="preserve"> и Букку), полученные на основе биоиндикационных свойств фитопланктонного сообщества</w:t>
      </w:r>
    </w:p>
    <w:tbl>
      <w:tblPr>
        <w:tblW w:w="8974" w:type="dxa"/>
        <w:tblInd w:w="93" w:type="dxa"/>
        <w:tblLayout w:type="fixed"/>
        <w:tblLook w:val="04A0"/>
      </w:tblPr>
      <w:tblGrid>
        <w:gridCol w:w="1121"/>
        <w:gridCol w:w="1122"/>
        <w:gridCol w:w="1122"/>
        <w:gridCol w:w="1122"/>
        <w:gridCol w:w="1121"/>
        <w:gridCol w:w="1122"/>
        <w:gridCol w:w="1122"/>
        <w:gridCol w:w="1122"/>
      </w:tblGrid>
      <w:tr w:rsidR="00536D59" w:rsidRPr="00933674" w:rsidTr="00933674">
        <w:trPr>
          <w:trHeight w:val="1120"/>
        </w:trPr>
        <w:tc>
          <w:tcPr>
            <w:tcW w:w="1121" w:type="dxa"/>
            <w:tcBorders>
              <w:top w:val="single" w:sz="4" w:space="0" w:color="auto"/>
              <w:left w:val="single" w:sz="4" w:space="0" w:color="auto"/>
              <w:bottom w:val="single" w:sz="4" w:space="0" w:color="auto"/>
              <w:right w:val="single" w:sz="4" w:space="0" w:color="auto"/>
            </w:tcBorders>
            <w:vAlign w:val="center"/>
          </w:tcPr>
          <w:p w:rsidR="00536D59" w:rsidRPr="00933674" w:rsidRDefault="00AC4DBB" w:rsidP="00933674">
            <w:pPr>
              <w:spacing w:after="0" w:line="240" w:lineRule="auto"/>
              <w:jc w:val="center"/>
              <w:rPr>
                <w:rFonts w:ascii="Times New Roman" w:eastAsia="Times New Roman" w:hAnsi="Times New Roman" w:cs="Times New Roman"/>
                <w:sz w:val="20"/>
                <w:szCs w:val="20"/>
              </w:rPr>
            </w:pPr>
            <w:r w:rsidRPr="00933674">
              <w:rPr>
                <w:rFonts w:ascii="Times New Roman" w:eastAsia="Times New Roman" w:hAnsi="Times New Roman" w:cs="Times New Roman"/>
                <w:sz w:val="20"/>
                <w:szCs w:val="20"/>
              </w:rPr>
              <w:t>Название водотока/водоема</w:t>
            </w:r>
          </w:p>
        </w:tc>
        <w:tc>
          <w:tcPr>
            <w:tcW w:w="1122" w:type="dxa"/>
            <w:tcBorders>
              <w:top w:val="single" w:sz="4" w:space="0" w:color="auto"/>
              <w:left w:val="nil"/>
              <w:bottom w:val="single" w:sz="4" w:space="0" w:color="auto"/>
              <w:right w:val="single" w:sz="4" w:space="0" w:color="auto"/>
            </w:tcBorders>
            <w:vAlign w:val="center"/>
          </w:tcPr>
          <w:p w:rsidR="00536D59" w:rsidRPr="00933674" w:rsidRDefault="00AC4DBB" w:rsidP="00933674">
            <w:pPr>
              <w:spacing w:after="0" w:line="240" w:lineRule="auto"/>
              <w:jc w:val="center"/>
              <w:rPr>
                <w:rFonts w:ascii="Times New Roman" w:eastAsia="Times New Roman" w:hAnsi="Times New Roman" w:cs="Times New Roman"/>
                <w:sz w:val="20"/>
                <w:szCs w:val="20"/>
              </w:rPr>
            </w:pPr>
            <w:r w:rsidRPr="00933674">
              <w:rPr>
                <w:rFonts w:ascii="Times New Roman" w:eastAsia="Times New Roman" w:hAnsi="Times New Roman" w:cs="Times New Roman"/>
                <w:sz w:val="20"/>
                <w:szCs w:val="20"/>
              </w:rPr>
              <w:t>р. Дубровенка №1</w:t>
            </w:r>
          </w:p>
        </w:tc>
        <w:tc>
          <w:tcPr>
            <w:tcW w:w="1122" w:type="dxa"/>
            <w:tcBorders>
              <w:top w:val="single" w:sz="4" w:space="0" w:color="auto"/>
              <w:left w:val="nil"/>
              <w:bottom w:val="single" w:sz="4" w:space="0" w:color="auto"/>
              <w:right w:val="single" w:sz="4" w:space="0" w:color="auto"/>
            </w:tcBorders>
            <w:vAlign w:val="center"/>
          </w:tcPr>
          <w:p w:rsidR="00536D59" w:rsidRPr="00933674" w:rsidRDefault="00AC4DBB" w:rsidP="00933674">
            <w:pPr>
              <w:spacing w:after="0" w:line="240" w:lineRule="auto"/>
              <w:jc w:val="center"/>
              <w:rPr>
                <w:rFonts w:ascii="Times New Roman" w:eastAsia="Times New Roman" w:hAnsi="Times New Roman" w:cs="Times New Roman"/>
                <w:sz w:val="20"/>
                <w:szCs w:val="20"/>
              </w:rPr>
            </w:pPr>
            <w:r w:rsidRPr="00933674">
              <w:rPr>
                <w:rFonts w:ascii="Times New Roman" w:eastAsia="Times New Roman" w:hAnsi="Times New Roman" w:cs="Times New Roman"/>
                <w:sz w:val="20"/>
                <w:szCs w:val="20"/>
              </w:rPr>
              <w:t>р. Дубровенка №2</w:t>
            </w:r>
          </w:p>
        </w:tc>
        <w:tc>
          <w:tcPr>
            <w:tcW w:w="1122" w:type="dxa"/>
            <w:tcBorders>
              <w:top w:val="single" w:sz="4" w:space="0" w:color="auto"/>
              <w:left w:val="nil"/>
              <w:bottom w:val="single" w:sz="4" w:space="0" w:color="auto"/>
              <w:right w:val="single" w:sz="4" w:space="0" w:color="auto"/>
            </w:tcBorders>
            <w:vAlign w:val="center"/>
          </w:tcPr>
          <w:p w:rsidR="00536D59" w:rsidRPr="00933674" w:rsidRDefault="00AC4DBB" w:rsidP="00933674">
            <w:pPr>
              <w:spacing w:after="0" w:line="240" w:lineRule="auto"/>
              <w:jc w:val="center"/>
              <w:rPr>
                <w:rFonts w:ascii="Times New Roman" w:eastAsia="Times New Roman" w:hAnsi="Times New Roman" w:cs="Times New Roman"/>
                <w:sz w:val="20"/>
                <w:szCs w:val="20"/>
              </w:rPr>
            </w:pPr>
            <w:r w:rsidRPr="00933674">
              <w:rPr>
                <w:rFonts w:ascii="Times New Roman" w:eastAsia="Times New Roman" w:hAnsi="Times New Roman" w:cs="Times New Roman"/>
                <w:sz w:val="20"/>
                <w:szCs w:val="20"/>
              </w:rPr>
              <w:t>р. Дубровенка №3</w:t>
            </w:r>
          </w:p>
        </w:tc>
        <w:tc>
          <w:tcPr>
            <w:tcW w:w="1121" w:type="dxa"/>
            <w:tcBorders>
              <w:top w:val="single" w:sz="4" w:space="0" w:color="auto"/>
              <w:left w:val="nil"/>
              <w:bottom w:val="single" w:sz="4" w:space="0" w:color="auto"/>
              <w:right w:val="single" w:sz="4" w:space="0" w:color="auto"/>
            </w:tcBorders>
            <w:vAlign w:val="center"/>
          </w:tcPr>
          <w:p w:rsidR="00536D59" w:rsidRPr="00933674" w:rsidRDefault="00AC4DBB" w:rsidP="00933674">
            <w:pPr>
              <w:spacing w:after="0" w:line="240" w:lineRule="auto"/>
              <w:jc w:val="center"/>
              <w:rPr>
                <w:rFonts w:ascii="Times New Roman" w:eastAsia="Times New Roman" w:hAnsi="Times New Roman" w:cs="Times New Roman"/>
                <w:sz w:val="20"/>
                <w:szCs w:val="20"/>
              </w:rPr>
            </w:pPr>
            <w:r w:rsidRPr="00933674">
              <w:rPr>
                <w:rFonts w:ascii="Times New Roman" w:eastAsia="Times New Roman" w:hAnsi="Times New Roman" w:cs="Times New Roman"/>
                <w:sz w:val="20"/>
                <w:szCs w:val="20"/>
              </w:rPr>
              <w:t>р. Днепр</w:t>
            </w:r>
          </w:p>
        </w:tc>
        <w:tc>
          <w:tcPr>
            <w:tcW w:w="1122" w:type="dxa"/>
            <w:tcBorders>
              <w:top w:val="single" w:sz="4" w:space="0" w:color="auto"/>
              <w:left w:val="nil"/>
              <w:bottom w:val="single" w:sz="4" w:space="0" w:color="auto"/>
              <w:right w:val="single" w:sz="4" w:space="0" w:color="auto"/>
            </w:tcBorders>
            <w:vAlign w:val="center"/>
          </w:tcPr>
          <w:p w:rsidR="00536D59" w:rsidRPr="00933674" w:rsidRDefault="00AC4DBB" w:rsidP="00933674">
            <w:pPr>
              <w:spacing w:after="0" w:line="240" w:lineRule="auto"/>
              <w:jc w:val="center"/>
              <w:rPr>
                <w:rFonts w:ascii="Times New Roman" w:eastAsia="Times New Roman" w:hAnsi="Times New Roman" w:cs="Times New Roman"/>
                <w:sz w:val="20"/>
                <w:szCs w:val="20"/>
              </w:rPr>
            </w:pPr>
            <w:r w:rsidRPr="00933674">
              <w:rPr>
                <w:rFonts w:ascii="Times New Roman" w:eastAsia="Times New Roman" w:hAnsi="Times New Roman" w:cs="Times New Roman"/>
                <w:sz w:val="20"/>
                <w:szCs w:val="20"/>
              </w:rPr>
              <w:t>р. Струшня</w:t>
            </w:r>
          </w:p>
        </w:tc>
        <w:tc>
          <w:tcPr>
            <w:tcW w:w="1122" w:type="dxa"/>
            <w:tcBorders>
              <w:top w:val="single" w:sz="4" w:space="0" w:color="auto"/>
              <w:left w:val="nil"/>
              <w:bottom w:val="single" w:sz="4" w:space="0" w:color="auto"/>
              <w:right w:val="single" w:sz="4" w:space="0" w:color="auto"/>
            </w:tcBorders>
            <w:vAlign w:val="center"/>
          </w:tcPr>
          <w:p w:rsidR="00536D59" w:rsidRPr="00933674" w:rsidRDefault="00AC4DBB" w:rsidP="00933674">
            <w:pPr>
              <w:spacing w:after="0" w:line="240" w:lineRule="auto"/>
              <w:jc w:val="center"/>
              <w:rPr>
                <w:rFonts w:ascii="Times New Roman" w:eastAsia="Times New Roman" w:hAnsi="Times New Roman" w:cs="Times New Roman"/>
                <w:sz w:val="20"/>
                <w:szCs w:val="20"/>
              </w:rPr>
            </w:pPr>
            <w:r w:rsidRPr="00933674">
              <w:rPr>
                <w:rFonts w:ascii="Times New Roman" w:eastAsia="Times New Roman" w:hAnsi="Times New Roman" w:cs="Times New Roman"/>
                <w:sz w:val="20"/>
                <w:szCs w:val="20"/>
              </w:rPr>
              <w:t>оз. Святое</w:t>
            </w:r>
          </w:p>
        </w:tc>
        <w:tc>
          <w:tcPr>
            <w:tcW w:w="1122" w:type="dxa"/>
            <w:tcBorders>
              <w:top w:val="single" w:sz="4" w:space="0" w:color="auto"/>
              <w:left w:val="nil"/>
              <w:bottom w:val="single" w:sz="4" w:space="0" w:color="auto"/>
              <w:right w:val="single" w:sz="4" w:space="0" w:color="auto"/>
            </w:tcBorders>
            <w:vAlign w:val="center"/>
          </w:tcPr>
          <w:p w:rsidR="00536D59" w:rsidRPr="00933674" w:rsidRDefault="00AC4DBB" w:rsidP="00933674">
            <w:pPr>
              <w:spacing w:after="0" w:line="240" w:lineRule="auto"/>
              <w:jc w:val="center"/>
              <w:rPr>
                <w:rFonts w:ascii="Times New Roman" w:eastAsia="Times New Roman" w:hAnsi="Times New Roman" w:cs="Times New Roman"/>
                <w:sz w:val="20"/>
                <w:szCs w:val="20"/>
              </w:rPr>
            </w:pPr>
            <w:r w:rsidRPr="00933674">
              <w:rPr>
                <w:rFonts w:ascii="Times New Roman" w:eastAsia="Times New Roman" w:hAnsi="Times New Roman" w:cs="Times New Roman"/>
                <w:sz w:val="20"/>
                <w:szCs w:val="20"/>
              </w:rPr>
              <w:t>водохр. Печерское</w:t>
            </w:r>
          </w:p>
        </w:tc>
      </w:tr>
      <w:tr w:rsidR="00536D59" w:rsidTr="00933674">
        <w:trPr>
          <w:trHeight w:val="840"/>
        </w:trPr>
        <w:tc>
          <w:tcPr>
            <w:tcW w:w="1121" w:type="dxa"/>
            <w:tcBorders>
              <w:top w:val="nil"/>
              <w:left w:val="single" w:sz="4" w:space="0" w:color="auto"/>
              <w:bottom w:val="single" w:sz="4" w:space="0" w:color="auto"/>
              <w:right w:val="single" w:sz="4" w:space="0" w:color="auto"/>
            </w:tcBorders>
            <w:vAlign w:val="center"/>
          </w:tcPr>
          <w:p w:rsidR="00536D59" w:rsidRPr="00933674" w:rsidRDefault="00AC4DBB" w:rsidP="00933674">
            <w:pPr>
              <w:spacing w:after="0" w:line="240" w:lineRule="auto"/>
              <w:jc w:val="both"/>
              <w:rPr>
                <w:rFonts w:ascii="Times New Roman" w:eastAsia="Times New Roman" w:hAnsi="Times New Roman" w:cs="Times New Roman"/>
                <w:sz w:val="20"/>
                <w:szCs w:val="20"/>
              </w:rPr>
            </w:pPr>
            <w:r w:rsidRPr="00933674">
              <w:rPr>
                <w:rFonts w:ascii="Times New Roman" w:eastAsia="Times New Roman" w:hAnsi="Times New Roman" w:cs="Times New Roman"/>
                <w:sz w:val="20"/>
                <w:szCs w:val="20"/>
              </w:rPr>
              <w:t>Индекс сапробности, S</w:t>
            </w:r>
          </w:p>
        </w:tc>
        <w:tc>
          <w:tcPr>
            <w:tcW w:w="1122" w:type="dxa"/>
            <w:tcBorders>
              <w:top w:val="nil"/>
              <w:left w:val="nil"/>
              <w:bottom w:val="single" w:sz="4" w:space="0" w:color="auto"/>
              <w:right w:val="single" w:sz="4" w:space="0" w:color="auto"/>
            </w:tcBorders>
            <w:noWrap/>
            <w:vAlign w:val="center"/>
          </w:tcPr>
          <w:p w:rsidR="00536D59" w:rsidRDefault="00AC4DBB" w:rsidP="00933674">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2,138</w:t>
            </w:r>
          </w:p>
        </w:tc>
        <w:tc>
          <w:tcPr>
            <w:tcW w:w="1122" w:type="dxa"/>
            <w:tcBorders>
              <w:top w:val="nil"/>
              <w:left w:val="nil"/>
              <w:bottom w:val="single" w:sz="4" w:space="0" w:color="auto"/>
              <w:right w:val="single" w:sz="4" w:space="0" w:color="auto"/>
            </w:tcBorders>
            <w:noWrap/>
            <w:vAlign w:val="center"/>
          </w:tcPr>
          <w:p w:rsidR="00536D59" w:rsidRDefault="00AC4DBB" w:rsidP="00933674">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2,148</w:t>
            </w:r>
          </w:p>
        </w:tc>
        <w:tc>
          <w:tcPr>
            <w:tcW w:w="1122" w:type="dxa"/>
            <w:tcBorders>
              <w:top w:val="nil"/>
              <w:left w:val="nil"/>
              <w:bottom w:val="single" w:sz="4" w:space="0" w:color="auto"/>
              <w:right w:val="single" w:sz="4" w:space="0" w:color="auto"/>
            </w:tcBorders>
            <w:noWrap/>
            <w:vAlign w:val="center"/>
          </w:tcPr>
          <w:p w:rsidR="00536D59" w:rsidRDefault="00AC4DBB" w:rsidP="00933674">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2,237</w:t>
            </w:r>
          </w:p>
        </w:tc>
        <w:tc>
          <w:tcPr>
            <w:tcW w:w="1121" w:type="dxa"/>
            <w:tcBorders>
              <w:top w:val="nil"/>
              <w:left w:val="nil"/>
              <w:bottom w:val="single" w:sz="4" w:space="0" w:color="auto"/>
              <w:right w:val="single" w:sz="4" w:space="0" w:color="auto"/>
            </w:tcBorders>
            <w:noWrap/>
            <w:vAlign w:val="center"/>
          </w:tcPr>
          <w:p w:rsidR="00536D59" w:rsidRDefault="00AC4DBB" w:rsidP="00933674">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2,325</w:t>
            </w:r>
          </w:p>
        </w:tc>
        <w:tc>
          <w:tcPr>
            <w:tcW w:w="1122" w:type="dxa"/>
            <w:tcBorders>
              <w:top w:val="nil"/>
              <w:left w:val="nil"/>
              <w:bottom w:val="single" w:sz="4" w:space="0" w:color="auto"/>
              <w:right w:val="single" w:sz="4" w:space="0" w:color="auto"/>
            </w:tcBorders>
            <w:noWrap/>
            <w:vAlign w:val="center"/>
          </w:tcPr>
          <w:p w:rsidR="00536D59" w:rsidRDefault="00AC4DBB" w:rsidP="00933674">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2,559</w:t>
            </w:r>
          </w:p>
        </w:tc>
        <w:tc>
          <w:tcPr>
            <w:tcW w:w="1122" w:type="dxa"/>
            <w:tcBorders>
              <w:top w:val="nil"/>
              <w:left w:val="nil"/>
              <w:bottom w:val="single" w:sz="4" w:space="0" w:color="auto"/>
              <w:right w:val="single" w:sz="4" w:space="0" w:color="auto"/>
            </w:tcBorders>
            <w:noWrap/>
            <w:vAlign w:val="center"/>
          </w:tcPr>
          <w:p w:rsidR="00536D59" w:rsidRDefault="00AC4DBB" w:rsidP="00933674">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2,155</w:t>
            </w:r>
          </w:p>
        </w:tc>
        <w:tc>
          <w:tcPr>
            <w:tcW w:w="1122" w:type="dxa"/>
            <w:tcBorders>
              <w:top w:val="nil"/>
              <w:left w:val="nil"/>
              <w:bottom w:val="single" w:sz="4" w:space="0" w:color="auto"/>
              <w:right w:val="single" w:sz="4" w:space="0" w:color="auto"/>
            </w:tcBorders>
            <w:noWrap/>
            <w:vAlign w:val="center"/>
          </w:tcPr>
          <w:p w:rsidR="00536D59" w:rsidRDefault="00AC4DBB" w:rsidP="00933674">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2,461</w:t>
            </w:r>
          </w:p>
        </w:tc>
      </w:tr>
    </w:tbl>
    <w:p w:rsidR="00536D59" w:rsidRDefault="00536D59" w:rsidP="00933674">
      <w:pPr>
        <w:spacing w:after="0" w:line="240" w:lineRule="auto"/>
        <w:ind w:firstLine="709"/>
        <w:jc w:val="both"/>
        <w:rPr>
          <w:rFonts w:ascii="Times New Roman" w:hAnsi="Times New Roman" w:cs="Times New Roman"/>
          <w:sz w:val="28"/>
          <w:szCs w:val="28"/>
        </w:rPr>
      </w:pPr>
    </w:p>
    <w:p w:rsidR="00536D59" w:rsidRDefault="00AC4DBB" w:rsidP="009336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Внедрение регулярного биоиндикационного мониторинга сапробности городских водоемов г. Могилева является важным условием для перехода к устойчивому развитию региона. Полученные данные могут служить объективной основой для разработки природоохранных мероприятий и корректировки градостроительных планов. Кроме того, активное вовлечение студенческой молодежи в процессы экологического мониторинга способствует достижению целей устойчивого развития и повышению уровня экологической культуры общества. </w:t>
      </w:r>
    </w:p>
    <w:p w:rsidR="00933674" w:rsidRDefault="00933674" w:rsidP="00933674">
      <w:pPr>
        <w:spacing w:after="0" w:line="240" w:lineRule="auto"/>
        <w:ind w:firstLine="709"/>
        <w:jc w:val="center"/>
        <w:rPr>
          <w:rFonts w:ascii="Times New Roman" w:eastAsia="Times New Roman" w:hAnsi="Times New Roman" w:cs="Times New Roman"/>
          <w:b/>
          <w:bCs/>
          <w:sz w:val="24"/>
          <w:szCs w:val="28"/>
        </w:rPr>
      </w:pPr>
    </w:p>
    <w:p w:rsidR="00536D59" w:rsidRPr="00AB4FD4" w:rsidRDefault="00AC4DBB" w:rsidP="00933674">
      <w:pPr>
        <w:spacing w:after="0" w:line="240" w:lineRule="auto"/>
        <w:ind w:firstLine="709"/>
        <w:jc w:val="center"/>
        <w:rPr>
          <w:rFonts w:ascii="Times New Roman" w:eastAsia="Times New Roman" w:hAnsi="Times New Roman" w:cs="Times New Roman"/>
          <w:sz w:val="28"/>
          <w:szCs w:val="28"/>
        </w:rPr>
      </w:pPr>
      <w:r w:rsidRPr="00AB4FD4">
        <w:rPr>
          <w:rFonts w:ascii="Times New Roman" w:eastAsia="Times New Roman" w:hAnsi="Times New Roman" w:cs="Times New Roman"/>
          <w:b/>
          <w:bCs/>
          <w:sz w:val="28"/>
          <w:szCs w:val="28"/>
        </w:rPr>
        <w:t>Список литературы</w:t>
      </w:r>
    </w:p>
    <w:p w:rsidR="00536D59" w:rsidRPr="00933674" w:rsidRDefault="00AC4DBB" w:rsidP="00933674">
      <w:pPr>
        <w:numPr>
          <w:ilvl w:val="0"/>
          <w:numId w:val="8"/>
        </w:numPr>
        <w:spacing w:after="0" w:line="240" w:lineRule="auto"/>
        <w:ind w:left="0" w:firstLine="709"/>
        <w:jc w:val="both"/>
        <w:rPr>
          <w:rFonts w:ascii="Times New Roman" w:eastAsiaTheme="minorEastAsia" w:hAnsi="Times New Roman" w:cs="Times New Roman"/>
          <w:sz w:val="24"/>
          <w:szCs w:val="28"/>
          <w:shd w:val="clear" w:color="auto" w:fill="F8F8F8"/>
        </w:rPr>
      </w:pPr>
      <w:r w:rsidRPr="00933674">
        <w:rPr>
          <w:rFonts w:ascii="Times New Roman" w:eastAsiaTheme="minorEastAsia" w:hAnsi="Times New Roman" w:cs="Times New Roman"/>
          <w:sz w:val="24"/>
          <w:szCs w:val="28"/>
          <w:shd w:val="clear" w:color="auto" w:fill="F8F8F8"/>
        </w:rPr>
        <w:t>Унифицированные методы исследования качества вод: методы химического анализа вод / СЭВ, Совещ. руководителей водохоз. органов стран – членов СЭВ. – 3-е изд., пе</w:t>
      </w:r>
      <w:bookmarkStart w:id="5" w:name="_GoBack"/>
      <w:r w:rsidR="00933674" w:rsidRPr="00933674">
        <w:rPr>
          <w:rFonts w:ascii="Times New Roman" w:eastAsiaTheme="minorEastAsia" w:hAnsi="Times New Roman" w:cs="Times New Roman"/>
          <w:sz w:val="24"/>
          <w:szCs w:val="28"/>
          <w:shd w:val="clear" w:color="auto" w:fill="F8F8F8"/>
        </w:rPr>
        <w:t>рераб. и доп. – Москва</w:t>
      </w:r>
      <w:r w:rsidRPr="00933674">
        <w:rPr>
          <w:rFonts w:ascii="Times New Roman" w:eastAsiaTheme="minorEastAsia" w:hAnsi="Times New Roman" w:cs="Times New Roman"/>
          <w:sz w:val="24"/>
          <w:szCs w:val="28"/>
          <w:shd w:val="clear" w:color="auto" w:fill="F8F8F8"/>
        </w:rPr>
        <w:t>, 1977.</w:t>
      </w:r>
    </w:p>
    <w:p w:rsidR="00536D59" w:rsidRPr="00933674" w:rsidRDefault="00AC4DBB" w:rsidP="00933674">
      <w:pPr>
        <w:numPr>
          <w:ilvl w:val="0"/>
          <w:numId w:val="8"/>
        </w:numPr>
        <w:spacing w:after="0" w:line="240" w:lineRule="auto"/>
        <w:ind w:left="0" w:firstLine="709"/>
        <w:jc w:val="both"/>
        <w:rPr>
          <w:rFonts w:ascii="Times New Roman" w:eastAsia="Times New Roman" w:hAnsi="Times New Roman" w:cs="Times New Roman"/>
          <w:sz w:val="24"/>
          <w:szCs w:val="24"/>
        </w:rPr>
      </w:pPr>
      <w:r w:rsidRPr="00933674">
        <w:rPr>
          <w:rFonts w:ascii="Times New Roman" w:eastAsiaTheme="minorEastAsia" w:hAnsi="Times New Roman" w:cs="Times New Roman"/>
          <w:sz w:val="24"/>
          <w:szCs w:val="28"/>
          <w:shd w:val="clear" w:color="auto" w:fill="F8F8F8"/>
        </w:rPr>
        <w:t>Баринова, С. С. Атлас водорослей-индикаторов сапробности (российский Дальний Восток) [Текст] / С. С. Баринова, Л. А. Медведева. – Владивосток : Дальнаука, 1996. – 364 с. : ил.</w:t>
      </w:r>
    </w:p>
    <w:bookmarkEnd w:id="5"/>
    <w:p w:rsidR="00536D59" w:rsidRDefault="00536D59">
      <w:pPr>
        <w:spacing w:line="240" w:lineRule="auto"/>
        <w:jc w:val="both"/>
        <w:rPr>
          <w:rFonts w:ascii="Times New Roman" w:eastAsia="Times New Roman" w:hAnsi="Times New Roman" w:cs="Times New Roman"/>
          <w:sz w:val="24"/>
          <w:szCs w:val="24"/>
        </w:rPr>
      </w:pPr>
    </w:p>
    <w:p w:rsidR="00933674" w:rsidRDefault="00933674" w:rsidP="00933674">
      <w:pPr>
        <w:shd w:val="clear" w:color="auto" w:fill="FFFFFF"/>
        <w:spacing w:after="0" w:line="240" w:lineRule="auto"/>
        <w:ind w:firstLine="709"/>
        <w:jc w:val="center"/>
        <w:rPr>
          <w:rFonts w:ascii="Times New Roman" w:hAnsi="Times New Roman" w:cs="Times New Roman"/>
          <w:b/>
          <w:bCs/>
          <w:sz w:val="28"/>
        </w:rPr>
      </w:pPr>
      <w:r>
        <w:rPr>
          <w:rFonts w:ascii="Times New Roman" w:hAnsi="Times New Roman" w:cs="Times New Roman"/>
          <w:b/>
          <w:bCs/>
          <w:sz w:val="28"/>
          <w:szCs w:val="28"/>
        </w:rPr>
        <w:t xml:space="preserve">ЦЕЛИ УСТОЙЧИВОГО РАЗВИТИЯ В ПРОБЛЕМНОМ ПОЛЕ УЧЕБНОЙ ДИСЦИПЛИНЫ «СОЦИАЛЬНАЯ ПОЛИТИКА» </w:t>
      </w:r>
    </w:p>
    <w:p w:rsidR="00933674" w:rsidRDefault="00933674" w:rsidP="00933674">
      <w:pPr>
        <w:spacing w:after="0" w:line="240" w:lineRule="auto"/>
        <w:ind w:firstLine="709"/>
        <w:jc w:val="both"/>
        <w:rPr>
          <w:rFonts w:ascii="Times New Roman" w:hAnsi="Times New Roman" w:cs="Times New Roman"/>
          <w:sz w:val="28"/>
        </w:rPr>
      </w:pPr>
      <w:r>
        <w:rPr>
          <w:rFonts w:ascii="Times New Roman" w:hAnsi="Times New Roman" w:cs="Times New Roman"/>
          <w:b/>
          <w:bCs/>
          <w:sz w:val="28"/>
          <w:szCs w:val="28"/>
        </w:rPr>
        <w:t xml:space="preserve"> </w:t>
      </w:r>
    </w:p>
    <w:p w:rsidR="00933674" w:rsidRPr="00933674" w:rsidRDefault="00933674" w:rsidP="00933674">
      <w:pPr>
        <w:spacing w:after="0" w:line="240" w:lineRule="auto"/>
        <w:ind w:firstLine="709"/>
        <w:jc w:val="center"/>
        <w:rPr>
          <w:rFonts w:ascii="Times New Roman" w:hAnsi="Times New Roman" w:cs="Times New Roman"/>
          <w:b/>
          <w:sz w:val="28"/>
        </w:rPr>
      </w:pPr>
      <w:r w:rsidRPr="00933674">
        <w:rPr>
          <w:rFonts w:ascii="Times New Roman" w:hAnsi="Times New Roman" w:cs="Times New Roman"/>
          <w:b/>
          <w:sz w:val="28"/>
          <w:szCs w:val="28"/>
        </w:rPr>
        <w:t>Ярошевич Евгения Александровна</w:t>
      </w:r>
    </w:p>
    <w:p w:rsidR="00933674" w:rsidRDefault="00933674" w:rsidP="00933674">
      <w:pPr>
        <w:spacing w:after="0" w:line="240" w:lineRule="auto"/>
        <w:ind w:firstLine="709"/>
        <w:jc w:val="center"/>
        <w:rPr>
          <w:rFonts w:ascii="Times New Roman" w:hAnsi="Times New Roman" w:cs="Times New Roman"/>
          <w:sz w:val="28"/>
        </w:rPr>
      </w:pPr>
      <w:r>
        <w:rPr>
          <w:rFonts w:ascii="Times New Roman" w:hAnsi="Times New Roman" w:cs="Times New Roman"/>
          <w:sz w:val="28"/>
          <w:szCs w:val="28"/>
        </w:rPr>
        <w:t>доцент кафедры теории права и социально-политических дисциплин</w:t>
      </w:r>
    </w:p>
    <w:p w:rsidR="00933674" w:rsidRDefault="00933674" w:rsidP="00933674">
      <w:pPr>
        <w:spacing w:after="0" w:line="240" w:lineRule="auto"/>
        <w:ind w:firstLine="709"/>
        <w:jc w:val="center"/>
        <w:rPr>
          <w:rFonts w:ascii="Times New Roman" w:hAnsi="Times New Roman" w:cs="Times New Roman"/>
          <w:sz w:val="28"/>
        </w:rPr>
      </w:pPr>
      <w:r>
        <w:rPr>
          <w:rFonts w:ascii="Times New Roman" w:hAnsi="Times New Roman" w:cs="Times New Roman"/>
          <w:sz w:val="28"/>
          <w:szCs w:val="28"/>
        </w:rPr>
        <w:t>учреждения образования «Могилевский государственный университет</w:t>
      </w:r>
    </w:p>
    <w:p w:rsidR="00933674" w:rsidRDefault="00933674" w:rsidP="00933674">
      <w:pPr>
        <w:spacing w:after="0" w:line="240" w:lineRule="auto"/>
        <w:ind w:firstLine="709"/>
        <w:jc w:val="center"/>
        <w:rPr>
          <w:rFonts w:ascii="Times New Roman" w:hAnsi="Times New Roman" w:cs="Times New Roman"/>
          <w:sz w:val="28"/>
        </w:rPr>
      </w:pPr>
      <w:r>
        <w:rPr>
          <w:rFonts w:ascii="Times New Roman" w:hAnsi="Times New Roman" w:cs="Times New Roman"/>
          <w:sz w:val="28"/>
          <w:szCs w:val="28"/>
        </w:rPr>
        <w:t>имени А.А.Кулешова»; кандидат социологических наук</w:t>
      </w:r>
    </w:p>
    <w:p w:rsidR="00933674" w:rsidRDefault="00933674" w:rsidP="00933674">
      <w:pPr>
        <w:spacing w:after="0" w:line="240" w:lineRule="auto"/>
        <w:ind w:firstLine="709"/>
        <w:jc w:val="center"/>
        <w:rPr>
          <w:rFonts w:ascii="Times New Roman" w:hAnsi="Times New Roman" w:cs="Times New Roman"/>
          <w:sz w:val="28"/>
        </w:rPr>
      </w:pPr>
      <w:r>
        <w:rPr>
          <w:rFonts w:ascii="Times New Roman" w:hAnsi="Times New Roman" w:cs="Times New Roman"/>
          <w:sz w:val="28"/>
          <w:szCs w:val="28"/>
        </w:rPr>
        <w:t>(г. Могилев, Беларусь)</w:t>
      </w:r>
    </w:p>
    <w:p w:rsidR="00933674" w:rsidRDefault="00933674" w:rsidP="00933674">
      <w:pPr>
        <w:spacing w:after="0" w:line="240" w:lineRule="auto"/>
        <w:ind w:firstLine="709"/>
        <w:jc w:val="center"/>
        <w:rPr>
          <w:rFonts w:ascii="Times New Roman" w:hAnsi="Times New Roman" w:cs="Times New Roman"/>
          <w:sz w:val="28"/>
        </w:rPr>
      </w:pPr>
      <w:r>
        <w:rPr>
          <w:rFonts w:ascii="Times New Roman" w:hAnsi="Times New Roman" w:cs="Times New Roman"/>
          <w:sz w:val="28"/>
          <w:szCs w:val="28"/>
        </w:rPr>
        <w:t xml:space="preserve">iaroshevich@m.msu.by </w:t>
      </w:r>
    </w:p>
    <w:p w:rsidR="00933674" w:rsidRDefault="00933674" w:rsidP="00933674">
      <w:pPr>
        <w:spacing w:after="0" w:line="240" w:lineRule="auto"/>
        <w:ind w:firstLine="709"/>
        <w:rPr>
          <w:rFonts w:ascii="Times New Roman" w:hAnsi="Times New Roman" w:cs="Times New Roman"/>
          <w:sz w:val="28"/>
        </w:rPr>
      </w:pPr>
    </w:p>
    <w:p w:rsidR="00933674" w:rsidRDefault="00933674" w:rsidP="00933674">
      <w:pPr>
        <w:spacing w:after="0" w:line="240" w:lineRule="auto"/>
        <w:ind w:firstLine="709"/>
        <w:jc w:val="both"/>
        <w:rPr>
          <w:rFonts w:ascii="Times New Roman" w:hAnsi="Times New Roman" w:cs="Times New Roman"/>
          <w:sz w:val="24"/>
          <w:szCs w:val="24"/>
        </w:rPr>
      </w:pPr>
      <w:r w:rsidRPr="00933674">
        <w:rPr>
          <w:rFonts w:ascii="Times New Roman" w:hAnsi="Times New Roman" w:cs="Times New Roman"/>
          <w:b/>
          <w:sz w:val="24"/>
          <w:szCs w:val="24"/>
        </w:rPr>
        <w:t>Аннотация.</w:t>
      </w:r>
      <w:r>
        <w:rPr>
          <w:rFonts w:ascii="Times New Roman" w:hAnsi="Times New Roman" w:cs="Times New Roman"/>
          <w:sz w:val="28"/>
          <w:szCs w:val="28"/>
        </w:rPr>
        <w:t xml:space="preserve"> </w:t>
      </w:r>
      <w:r>
        <w:rPr>
          <w:rFonts w:ascii="Times New Roman" w:hAnsi="Times New Roman" w:cs="Times New Roman"/>
          <w:sz w:val="24"/>
          <w:szCs w:val="24"/>
        </w:rPr>
        <w:t xml:space="preserve">Рассматривается потенциал изучения учебной дисциплины «Социальная политика» в формировании представлений  студенческой молодежи о целях устойчивого развития и механизмах их достижения. Акцентируется внимание на трансляции инструментальной функции социальной политики в развитии </w:t>
      </w:r>
      <w:r>
        <w:rPr>
          <w:rFonts w:ascii="Times New Roman" w:hAnsi="Times New Roman" w:cs="Times New Roman"/>
          <w:sz w:val="24"/>
          <w:szCs w:val="24"/>
        </w:rPr>
        <w:lastRenderedPageBreak/>
        <w:t xml:space="preserve">человеческого и социального капитала, как ресурсов, играющих ключевую роль в современном обществе. </w:t>
      </w:r>
    </w:p>
    <w:p w:rsidR="00933674" w:rsidRDefault="00933674" w:rsidP="00933674">
      <w:pPr>
        <w:spacing w:after="0" w:line="240" w:lineRule="auto"/>
        <w:ind w:firstLine="709"/>
        <w:jc w:val="both"/>
        <w:rPr>
          <w:rFonts w:ascii="Times New Roman" w:hAnsi="Times New Roman" w:cs="Times New Roman"/>
          <w:sz w:val="24"/>
          <w:szCs w:val="24"/>
        </w:rPr>
      </w:pPr>
      <w:r w:rsidRPr="00933674">
        <w:rPr>
          <w:rFonts w:ascii="Times New Roman" w:hAnsi="Times New Roman" w:cs="Times New Roman"/>
          <w:b/>
          <w:sz w:val="24"/>
          <w:szCs w:val="24"/>
        </w:rPr>
        <w:t>Ключевые слова.</w:t>
      </w:r>
      <w:r>
        <w:rPr>
          <w:rFonts w:ascii="Times New Roman" w:hAnsi="Times New Roman" w:cs="Times New Roman"/>
          <w:sz w:val="24"/>
          <w:szCs w:val="24"/>
        </w:rPr>
        <w:t xml:space="preserve"> Социальная политика, учебная дисциплина, устойчивое развитие, цели устойчивого развития, человеческий капитал, социальный капитал.</w:t>
      </w:r>
    </w:p>
    <w:p w:rsidR="00933674" w:rsidRDefault="00933674" w:rsidP="00933674">
      <w:pPr>
        <w:spacing w:after="0" w:line="240" w:lineRule="auto"/>
        <w:ind w:firstLine="709"/>
        <w:jc w:val="both"/>
        <w:rPr>
          <w:rFonts w:ascii="Times New Roman" w:hAnsi="Times New Roman" w:cs="Times New Roman"/>
          <w:sz w:val="28"/>
        </w:rPr>
      </w:pPr>
    </w:p>
    <w:p w:rsidR="00933674" w:rsidRDefault="00933674" w:rsidP="00933674">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Республика Беларусь как социальное правовое государство презюмирует ориентацию на обеспечение и защиту прав и свобод человека, создание условий для социального развития, обеспечения уровня и качества жизни населения. Современному специалисту в любой области профессиональной деятельности необходимо понимание основ и механизмов поддержания социальной стабильности и порядка в обществе, особенностей структурирования и направлений развития социальной сферы, функционирующих в ней институтов и организаций, роли социального партнерства в достижении социально значимых целей. Для решения данной задачи в процессе профессиональной подготовки целесообразно транслировать конкретные знания о ключевых направлениях социальной политики, формировать представление о ее значении в обеспечении устойчивого развития общества. Решение отмеченных выше задач повышает роль учреждений образования в продвижении принципов социальной ответственности и устойчивого развития, а также в формировании социально ответственного мышления и поведения в различных сферах жизнедеятельности, что соответствует одному из итоговых заявлений конференции «РИО+20» [6, с. 172].  </w:t>
      </w:r>
    </w:p>
    <w:p w:rsidR="00933674" w:rsidRDefault="00933674" w:rsidP="00933674">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«Социальная политика» является одной из учебных дисциплин содержание которой позволяет гармонично интегрировать в него информацию о целях и проблемном поле устойчивого развития, его социальных императивах, демонстрировать взаимосвязь социального, экономического и экологического компонентов. Ее изучение дает возможность формировать у студентов представление о социальной политике не только как о механизме управления социальной системой, ее структурами, социальными неравенствами, но также как об инструменте инвестирования в человеческий и социальный капитал личности и общества, значимом социальном драйвере устойчивого развития.  Потенциал данной дисциплины заключается в формировании активной жизненной позиции, системы ценностей, и поведения, соответствующих целям и принципам устойчивого развития.</w:t>
      </w:r>
    </w:p>
    <w:p w:rsidR="00933674" w:rsidRDefault="00933674" w:rsidP="00933674">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В рамках курса «Социальная политика» особое значение приобретает принцип социальной справедливости, ориентации социального развития на удовлетворение потребностей, запросов, ожиданий и оказания поддержки всем членам общества, прежде всего социально уязвимым группам, в соответствии с их реальными потребностями и факторами уязвимости. В контексте развития общественных систем приоритетное значение имеют цели устойчивого развития общества. Они определяют векторы социально-экономического развития и способствуют повсеместному обеспечению </w:t>
      </w:r>
      <w:r>
        <w:rPr>
          <w:rFonts w:ascii="Times New Roman" w:hAnsi="Times New Roman" w:cs="Times New Roman"/>
          <w:sz w:val="28"/>
          <w:szCs w:val="28"/>
        </w:rPr>
        <w:lastRenderedPageBreak/>
        <w:t xml:space="preserve">качества жизни людей [1, с. 5]. Для оценки остроты социальных проблем и определения социальных параметров устойчивого развития на глобальном и национальном уровнях рационально основываться на целях устойчивого развития ООН, сформулированных в Повестке-2030 и национальных стратегиях и приоритетах [4]. </w:t>
      </w:r>
      <w:r>
        <w:rPr>
          <w:rFonts w:ascii="Times New Roman" w:hAnsi="Times New Roman" w:cs="Times New Roman"/>
          <w:sz w:val="18"/>
        </w:rPr>
        <w:t xml:space="preserve"> </w:t>
      </w:r>
      <w:r>
        <w:rPr>
          <w:rFonts w:ascii="Times New Roman" w:hAnsi="Times New Roman" w:cs="Times New Roman"/>
          <w:sz w:val="28"/>
          <w:szCs w:val="28"/>
        </w:rPr>
        <w:t>Можно отметить тот факт, что из числа 17 сформулированных целей более половины являются социальными. Международное сообщество и национальные государства прилагают существенные усилия для ликвидации нищеты и голода, обеспечения доступности здравоохранения, качественного образование, гендерного равенства, профессиональной занятости и достойной работой, снижения социального неравенства и дискриминации. Фактически данные направления деятельности отражают стремление преодолеть ключевые социальные вызовы с которыми сталкиваются современные государства: демографические, занятости и усиления дифференциации доходов, роста неравенств, снижения качества человеческого потенциала.</w:t>
      </w:r>
    </w:p>
    <w:p w:rsidR="00933674" w:rsidRDefault="00933674" w:rsidP="00933674">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При рассмотрении социальной политики как движущей силы устойчивого развития необходимо, с одной стороны, продемонстрировать ее значение в повышении качества социального и человеческого потенциала общества, в создании условий для разностороннего развития  человека. С другой – отметить роль каждого социального субъекта в ее реализации в повседневной и профессиональной деятельности, которая проявляется в готовности принимать и воплощать в жизнь определенные обязательства по минимизации рисковых ситуаций и решению социальных проблем.  Данный подход воплощает принцип инклюзивности, как солидарной ответственности в устойчивом развитии общества в социальном, экологическом и экономическом аспектах.   </w:t>
      </w:r>
    </w:p>
    <w:p w:rsidR="00933674" w:rsidRDefault="00933674" w:rsidP="00933674">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В системе социальных параметров устойчивого развития российский исследователь О. А. Канаева выделяет  личную социальную устойчивость в основе которой лежит способность эффективно адаптироваться к меняющимся условиям жизни [2, с.35]. В процессе изучения основ социальной политики важно продемонстрировать, что данная способность определяется не только предоставляемыми на уровне государства, семьи и иных социальных институтов стартовыми возможностями, защищенностью от социальных рисков, доступностью и эффективностью каналов социальной мобильности, сколько готовностью самой личности к активным действиям для ее достижения, субъектной позицией в различных сферах жизнедеятельности.  </w:t>
      </w:r>
    </w:p>
    <w:p w:rsidR="00933674" w:rsidRDefault="00933674" w:rsidP="00933674">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Рассматривая белорусскую модель социального государства следует отметить его высокую социальную ответственность [3]. Важно акцентировать внимание на том, что современных условиях модель, цели и приоритеты долгосрочного устойчивого развития страны определены в Национальной стратегии устойчивого развития на период до 40 года [4]. Приоритетное значение придается национальным интересам, мерам </w:t>
      </w:r>
      <w:r>
        <w:rPr>
          <w:rFonts w:ascii="Times New Roman" w:hAnsi="Times New Roman" w:cs="Times New Roman"/>
          <w:sz w:val="28"/>
          <w:szCs w:val="28"/>
        </w:rPr>
        <w:lastRenderedPageBreak/>
        <w:t xml:space="preserve">защиты национальной безопасности, созданию условий для устойчивого развития всех сфер жизнедеятельности и обеспечения высокого качества жизни населения. Социальная политика рассматривается как инструмент решения государством социально значимых задач.  Ее стратегическая цель  – повышение качества человеческого потенциала с достижением высоких стандартов жизни путем развития новых профессиональных компетенций, обеспечения достойных доходов населения, формирования современной инфраструктуры жизнедеятельности [4, с.24]. Анализ основных форм и механизмов взаимосвязи экономического и социального развития, рассмотрение разумного использования природных ресурсов и сохранения экологического равновесия как части социальной политики позволяет подчеркнуть ее роль в реализации стратегии и достижении целей устойчивого развития белорусского общества. </w:t>
      </w:r>
    </w:p>
    <w:p w:rsidR="00933674" w:rsidRDefault="00933674" w:rsidP="00933674">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Раскрывая перечисленные выше задачи, как сферу ответственности государства и иных субъектов социальной политики, необходимо акцентировать внимание на том, что возможности их решения определяются не только уровнем и особенностями социально-экономического развития, степенью остроты социальных проблем и ресурсным потенциалом для их преодоления, но также зависят от социально ответственного поведения членов общества. Солидарная ответственность и целенаправленная деятельность по их реализации создает основу для обеспечения устойчивого будущего белорусского общества. </w:t>
      </w:r>
    </w:p>
    <w:p w:rsidR="00933674" w:rsidRDefault="00933674" w:rsidP="00933674">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Таким образом, учебная дисциплина «Социальная политика» обладает высоким потенциалом для интеграции в ее содержание проблематики устойчивого развития. Рассматривая социальную политику государства как механизм управления социальной системой, социальными неравенствами и структурами,  целесообразно акцентировать внимание на ее роли в решении задач социального компонента устойчивого развития.     </w:t>
      </w:r>
    </w:p>
    <w:p w:rsidR="00933674" w:rsidRDefault="00933674" w:rsidP="00933674">
      <w:pPr>
        <w:spacing w:after="0" w:line="240" w:lineRule="auto"/>
        <w:ind w:firstLine="709"/>
        <w:jc w:val="both"/>
        <w:rPr>
          <w:rFonts w:ascii="Times New Roman" w:hAnsi="Times New Roman" w:cs="Times New Roman"/>
          <w:sz w:val="28"/>
        </w:rPr>
      </w:pPr>
    </w:p>
    <w:p w:rsidR="00933674" w:rsidRPr="00AB4FD4" w:rsidRDefault="00933674" w:rsidP="00933674">
      <w:pPr>
        <w:spacing w:after="0" w:line="240" w:lineRule="auto"/>
        <w:ind w:firstLine="709"/>
        <w:jc w:val="center"/>
        <w:rPr>
          <w:rFonts w:ascii="Times New Roman" w:hAnsi="Times New Roman" w:cs="Times New Roman"/>
          <w:b/>
          <w:sz w:val="28"/>
          <w:szCs w:val="28"/>
        </w:rPr>
      </w:pPr>
      <w:r w:rsidRPr="00AB4FD4">
        <w:rPr>
          <w:rFonts w:ascii="Times New Roman" w:hAnsi="Times New Roman" w:cs="Times New Roman"/>
          <w:b/>
          <w:sz w:val="28"/>
          <w:szCs w:val="28"/>
        </w:rPr>
        <w:t>Список литературы</w:t>
      </w:r>
    </w:p>
    <w:p w:rsidR="00933674" w:rsidRDefault="00933674" w:rsidP="009336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Императивы устойчивого развития социально-экономических систем в цифровой экономике : монография / под научной ред. А.Э. Мосияш, Т.А. Селищевой. – СПб.: Изд-во СПбГЭУ, 2023. – 196 с. </w:t>
      </w:r>
    </w:p>
    <w:p w:rsidR="00933674" w:rsidRDefault="00933674" w:rsidP="009336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Канаева, О. А. Социальные императивы устойчивого развития / О. А.  Канаева // Вестник СПбГУ. Серия: Экономика. – 2018. – Т. 34, Вып. 1. – С. 26–58. </w:t>
      </w:r>
    </w:p>
    <w:p w:rsidR="00933674" w:rsidRDefault="00933674" w:rsidP="009336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Концепция национальной безопасности Республики Беларусь :  решение Всебел. нар. собр. от 25 апр. 2024 г. № 5. – Мн. : Нац. центр правовой информ. Респ. Беларусь, 2024. – 62 с.</w:t>
      </w:r>
    </w:p>
    <w:p w:rsidR="00933674" w:rsidRDefault="00933674" w:rsidP="009336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Национальная стратегия  устойчивого развития  Республики Беларусь  на период до 2040 года // Министерство экономики Республики Беларусь. – URL: </w:t>
      </w:r>
      <w:hyperlink r:id="rId14" w:history="1">
        <w:r>
          <w:rPr>
            <w:rFonts w:ascii="Times New Roman" w:hAnsi="Times New Roman" w:cs="Times New Roman"/>
            <w:sz w:val="24"/>
            <w:szCs w:val="24"/>
          </w:rPr>
          <w:t>https://economy.gov.by/uploads/files/NSUR/natsionalnaja-strategija-ustojchivogo-razvitija-respubliki-belarus-na-period-do-2040-goda.pdf</w:t>
        </w:r>
      </w:hyperlink>
      <w:r>
        <w:rPr>
          <w:rFonts w:ascii="Times New Roman" w:hAnsi="Times New Roman" w:cs="Times New Roman"/>
          <w:sz w:val="24"/>
          <w:szCs w:val="24"/>
        </w:rPr>
        <w:t xml:space="preserve"> (дата обращения: 02. 05. 2026).</w:t>
      </w:r>
    </w:p>
    <w:p w:rsidR="00933674" w:rsidRDefault="00933674" w:rsidP="00933674">
      <w:pPr>
        <w:tabs>
          <w:tab w:val="left" w:pos="37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 Преобразование нашего мира: Повестка дня в области устойчивого развития на период до 2030 года // Организация Объединенных Наций. – URL: </w:t>
      </w:r>
      <w:hyperlink r:id="rId15" w:history="1">
        <w:r>
          <w:rPr>
            <w:rStyle w:val="a4"/>
            <w:rFonts w:ascii="Times New Roman" w:hAnsi="Times New Roman" w:cs="Times New Roman"/>
            <w:color w:val="auto"/>
            <w:sz w:val="24"/>
            <w:szCs w:val="24"/>
          </w:rPr>
          <w:t>https://docs.un.org/ru/A/RES/70/1</w:t>
        </w:r>
      </w:hyperlink>
      <w:r>
        <w:rPr>
          <w:rFonts w:ascii="Times New Roman" w:hAnsi="Times New Roman" w:cs="Times New Roman"/>
          <w:sz w:val="24"/>
          <w:szCs w:val="24"/>
        </w:rPr>
        <w:t xml:space="preserve"> (дата обращения: 02. 05. 2026).</w:t>
      </w:r>
    </w:p>
    <w:p w:rsidR="00536D59" w:rsidRDefault="00933674" w:rsidP="00933674">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4"/>
          <w:szCs w:val="24"/>
        </w:rPr>
        <w:t>6. Саускан, В. И. Международный форум по устойчивому развитию «РИО+20» / В. И. Саускан // Вестник Балтийского федерального университета им. И. Канта. Серия: Естественные и медицинские науки. – 2013. – № 1. – С. 171-173.</w:t>
      </w:r>
    </w:p>
    <w:p w:rsidR="00536D59" w:rsidRDefault="00536D59">
      <w:pPr>
        <w:rPr>
          <w:rFonts w:ascii="Times New Roman" w:hAnsi="Times New Roman" w:cs="Times New Roman"/>
          <w:b/>
          <w:sz w:val="32"/>
          <w:szCs w:val="32"/>
        </w:rPr>
      </w:pPr>
    </w:p>
    <w:sectPr w:rsidR="00536D59" w:rsidSect="000F1336">
      <w:pgSz w:w="11906" w:h="16838"/>
      <w:pgMar w:top="1418" w:right="1418" w:bottom="1418" w:left="1418" w:header="709" w:footer="70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066" w:rsidRDefault="00965066">
      <w:pPr>
        <w:spacing w:line="240" w:lineRule="auto"/>
      </w:pPr>
      <w:r>
        <w:separator/>
      </w:r>
    </w:p>
  </w:endnote>
  <w:endnote w:type="continuationSeparator" w:id="0">
    <w:p w:rsidR="00965066" w:rsidRDefault="009650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066" w:rsidRDefault="00965066">
      <w:pPr>
        <w:spacing w:after="0"/>
      </w:pPr>
      <w:r>
        <w:separator/>
      </w:r>
    </w:p>
  </w:footnote>
  <w:footnote w:type="continuationSeparator" w:id="0">
    <w:p w:rsidR="00965066" w:rsidRDefault="0096506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1FB8"/>
    <w:multiLevelType w:val="multilevel"/>
    <w:tmpl w:val="0D911FB8"/>
    <w:lvl w:ilvl="0">
      <w:start w:val="1"/>
      <w:numFmt w:val="decimal"/>
      <w:lvlText w:val="%1."/>
      <w:lvlJc w:val="left"/>
      <w:pPr>
        <w:ind w:left="643" w:hanging="360"/>
      </w:pPr>
      <w:rPr>
        <w:rFonts w:hint="default"/>
        <w:sz w:val="24"/>
        <w:szCs w:val="24"/>
      </w:rPr>
    </w:lvl>
    <w:lvl w:ilvl="1">
      <w:start w:val="1"/>
      <w:numFmt w:val="lowerLetter"/>
      <w:lvlText w:val="%2."/>
      <w:lvlJc w:val="left"/>
      <w:pPr>
        <w:ind w:left="-54" w:hanging="360"/>
      </w:pPr>
    </w:lvl>
    <w:lvl w:ilvl="2">
      <w:start w:val="1"/>
      <w:numFmt w:val="lowerRoman"/>
      <w:lvlText w:val="%3."/>
      <w:lvlJc w:val="right"/>
      <w:pPr>
        <w:ind w:left="666" w:hanging="180"/>
      </w:pPr>
    </w:lvl>
    <w:lvl w:ilvl="3">
      <w:start w:val="1"/>
      <w:numFmt w:val="decimal"/>
      <w:lvlText w:val="%4."/>
      <w:lvlJc w:val="left"/>
      <w:pPr>
        <w:ind w:left="1386" w:hanging="360"/>
      </w:pPr>
    </w:lvl>
    <w:lvl w:ilvl="4">
      <w:start w:val="1"/>
      <w:numFmt w:val="lowerLetter"/>
      <w:lvlText w:val="%5."/>
      <w:lvlJc w:val="left"/>
      <w:pPr>
        <w:ind w:left="2106" w:hanging="360"/>
      </w:pPr>
    </w:lvl>
    <w:lvl w:ilvl="5">
      <w:start w:val="1"/>
      <w:numFmt w:val="lowerRoman"/>
      <w:lvlText w:val="%6."/>
      <w:lvlJc w:val="right"/>
      <w:pPr>
        <w:ind w:left="2826" w:hanging="180"/>
      </w:pPr>
    </w:lvl>
    <w:lvl w:ilvl="6">
      <w:start w:val="1"/>
      <w:numFmt w:val="decimal"/>
      <w:lvlText w:val="%7."/>
      <w:lvlJc w:val="left"/>
      <w:pPr>
        <w:ind w:left="3546" w:hanging="360"/>
      </w:pPr>
    </w:lvl>
    <w:lvl w:ilvl="7">
      <w:start w:val="1"/>
      <w:numFmt w:val="lowerLetter"/>
      <w:lvlText w:val="%8."/>
      <w:lvlJc w:val="left"/>
      <w:pPr>
        <w:ind w:left="4266" w:hanging="360"/>
      </w:pPr>
    </w:lvl>
    <w:lvl w:ilvl="8">
      <w:start w:val="1"/>
      <w:numFmt w:val="lowerRoman"/>
      <w:lvlText w:val="%9."/>
      <w:lvlJc w:val="right"/>
      <w:pPr>
        <w:ind w:left="4986" w:hanging="180"/>
      </w:pPr>
    </w:lvl>
  </w:abstractNum>
  <w:abstractNum w:abstractNumId="1">
    <w:nsid w:val="15947348"/>
    <w:multiLevelType w:val="multilevel"/>
    <w:tmpl w:val="15947348"/>
    <w:lvl w:ilvl="0">
      <w:start w:val="1"/>
      <w:numFmt w:val="bullet"/>
      <w:lvlText w:val=""/>
      <w:lvlJc w:val="left"/>
      <w:pPr>
        <w:ind w:left="720" w:hanging="360"/>
      </w:pPr>
      <w:rPr>
        <w:b w:val="0"/>
        <w:bCs w:val="0"/>
        <w:i w:val="0"/>
        <w:iCs w:val="0"/>
        <w:smallCaps w:val="0"/>
        <w:strike w:val="0"/>
        <w:dstrike w:val="0"/>
        <w:sz w:val="24"/>
        <w:szCs w:val="24"/>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nsid w:val="1BF24E47"/>
    <w:multiLevelType w:val="multilevel"/>
    <w:tmpl w:val="1BF24E47"/>
    <w:lvl w:ilvl="0">
      <w:start w:val="1"/>
      <w:numFmt w:val="decimal"/>
      <w:lvlText w:val="%1."/>
      <w:lvlJc w:val="left"/>
      <w:pPr>
        <w:ind w:left="1069" w:hanging="360"/>
      </w:pPr>
      <w:rPr>
        <w:rFonts w:ascii="Times New Roman" w:hAnsi="Times New Roman" w:cs="Times New Roman" w:hint="default"/>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3F4C7DF5"/>
    <w:multiLevelType w:val="multilevel"/>
    <w:tmpl w:val="3F4C7D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45E811DD"/>
    <w:multiLevelType w:val="multilevel"/>
    <w:tmpl w:val="45E811DD"/>
    <w:lvl w:ilvl="0">
      <w:start w:val="1"/>
      <w:numFmt w:val="decimal"/>
      <w:lvlText w:val="%1."/>
      <w:lvlJc w:val="left"/>
      <w:pPr>
        <w:ind w:left="720" w:hanging="360"/>
      </w:pPr>
      <w:rPr>
        <w:strike w:val="0"/>
        <w:dstrike w:val="0"/>
        <w:u w:val="none"/>
      </w:rPr>
    </w:lvl>
    <w:lvl w:ilvl="1">
      <w:start w:val="1"/>
      <w:numFmt w:val="lowerLetter"/>
      <w:lvlText w:val="%2."/>
      <w:lvlJc w:val="left"/>
      <w:pPr>
        <w:ind w:left="1440" w:hanging="360"/>
      </w:pPr>
      <w:rPr>
        <w:strike w:val="0"/>
        <w:dstrike w:val="0"/>
        <w:u w:val="none"/>
      </w:rPr>
    </w:lvl>
    <w:lvl w:ilvl="2">
      <w:start w:val="1"/>
      <w:numFmt w:val="lowerRoman"/>
      <w:lvlText w:val="%3."/>
      <w:lvlJc w:val="right"/>
      <w:pPr>
        <w:ind w:left="2160" w:hanging="360"/>
      </w:pPr>
      <w:rPr>
        <w:strike w:val="0"/>
        <w:dstrike w:val="0"/>
        <w:u w:val="none"/>
      </w:rPr>
    </w:lvl>
    <w:lvl w:ilvl="3">
      <w:start w:val="1"/>
      <w:numFmt w:val="decimal"/>
      <w:lvlText w:val="%4."/>
      <w:lvlJc w:val="left"/>
      <w:pPr>
        <w:ind w:left="2880" w:hanging="360"/>
      </w:pPr>
      <w:rPr>
        <w:strike w:val="0"/>
        <w:dstrike w:val="0"/>
        <w:u w:val="none"/>
      </w:rPr>
    </w:lvl>
    <w:lvl w:ilvl="4">
      <w:start w:val="1"/>
      <w:numFmt w:val="lowerLetter"/>
      <w:lvlText w:val="%5."/>
      <w:lvlJc w:val="left"/>
      <w:pPr>
        <w:ind w:left="3600" w:hanging="360"/>
      </w:pPr>
      <w:rPr>
        <w:strike w:val="0"/>
        <w:dstrike w:val="0"/>
        <w:u w:val="none"/>
      </w:rPr>
    </w:lvl>
    <w:lvl w:ilvl="5">
      <w:start w:val="1"/>
      <w:numFmt w:val="lowerRoman"/>
      <w:lvlText w:val="%6."/>
      <w:lvlJc w:val="right"/>
      <w:pPr>
        <w:ind w:left="4320" w:hanging="360"/>
      </w:pPr>
      <w:rPr>
        <w:strike w:val="0"/>
        <w:dstrike w:val="0"/>
        <w:u w:val="none"/>
      </w:rPr>
    </w:lvl>
    <w:lvl w:ilvl="6">
      <w:start w:val="1"/>
      <w:numFmt w:val="decimal"/>
      <w:lvlText w:val="%7."/>
      <w:lvlJc w:val="left"/>
      <w:pPr>
        <w:ind w:left="5040" w:hanging="360"/>
      </w:pPr>
      <w:rPr>
        <w:strike w:val="0"/>
        <w:dstrike w:val="0"/>
        <w:u w:val="none"/>
      </w:rPr>
    </w:lvl>
    <w:lvl w:ilvl="7">
      <w:start w:val="1"/>
      <w:numFmt w:val="lowerLetter"/>
      <w:lvlText w:val="%8."/>
      <w:lvlJc w:val="left"/>
      <w:pPr>
        <w:ind w:left="5760" w:hanging="360"/>
      </w:pPr>
      <w:rPr>
        <w:strike w:val="0"/>
        <w:dstrike w:val="0"/>
        <w:u w:val="none"/>
      </w:rPr>
    </w:lvl>
    <w:lvl w:ilvl="8">
      <w:start w:val="1"/>
      <w:numFmt w:val="lowerRoman"/>
      <w:lvlText w:val="%9."/>
      <w:lvlJc w:val="right"/>
      <w:pPr>
        <w:ind w:left="6480" w:hanging="360"/>
      </w:pPr>
      <w:rPr>
        <w:strike w:val="0"/>
        <w:dstrike w:val="0"/>
        <w:u w:val="none"/>
      </w:rPr>
    </w:lvl>
  </w:abstractNum>
  <w:abstractNum w:abstractNumId="5">
    <w:nsid w:val="5ED37FA5"/>
    <w:multiLevelType w:val="multilevel"/>
    <w:tmpl w:val="5ED37FA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694F415F"/>
    <w:multiLevelType w:val="multilevel"/>
    <w:tmpl w:val="694F415F"/>
    <w:lvl w:ilvl="0">
      <w:start w:val="1"/>
      <w:numFmt w:val="decimal"/>
      <w:lvlText w:val="%1."/>
      <w:lvlJc w:val="left"/>
      <w:pPr>
        <w:ind w:left="1699" w:hanging="99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7BF07482"/>
    <w:multiLevelType w:val="multilevel"/>
    <w:tmpl w:val="7BF07482"/>
    <w:lvl w:ilvl="0">
      <w:start w:val="1"/>
      <w:numFmt w:val="decimal"/>
      <w:lvlText w:val="%1."/>
      <w:lvlJc w:val="left"/>
      <w:pPr>
        <w:ind w:left="1440" w:hanging="360"/>
      </w:pPr>
      <w:rPr>
        <w:strike w:val="0"/>
        <w:dstrike w:val="0"/>
        <w:u w:val="none"/>
      </w:rPr>
    </w:lvl>
    <w:lvl w:ilvl="1">
      <w:start w:val="1"/>
      <w:numFmt w:val="lowerLetter"/>
      <w:lvlText w:val="%2."/>
      <w:lvlJc w:val="left"/>
      <w:pPr>
        <w:ind w:left="2160" w:hanging="360"/>
      </w:pPr>
      <w:rPr>
        <w:strike w:val="0"/>
        <w:dstrike w:val="0"/>
        <w:u w:val="none"/>
      </w:rPr>
    </w:lvl>
    <w:lvl w:ilvl="2">
      <w:start w:val="1"/>
      <w:numFmt w:val="lowerRoman"/>
      <w:lvlText w:val="%3."/>
      <w:lvlJc w:val="right"/>
      <w:pPr>
        <w:ind w:left="2880" w:hanging="360"/>
      </w:pPr>
      <w:rPr>
        <w:strike w:val="0"/>
        <w:dstrike w:val="0"/>
        <w:u w:val="none"/>
      </w:rPr>
    </w:lvl>
    <w:lvl w:ilvl="3">
      <w:start w:val="1"/>
      <w:numFmt w:val="decimal"/>
      <w:lvlText w:val="%4."/>
      <w:lvlJc w:val="left"/>
      <w:pPr>
        <w:ind w:left="3600" w:hanging="360"/>
      </w:pPr>
      <w:rPr>
        <w:strike w:val="0"/>
        <w:dstrike w:val="0"/>
        <w:u w:val="none"/>
      </w:rPr>
    </w:lvl>
    <w:lvl w:ilvl="4">
      <w:start w:val="1"/>
      <w:numFmt w:val="lowerLetter"/>
      <w:lvlText w:val="%5."/>
      <w:lvlJc w:val="left"/>
      <w:pPr>
        <w:ind w:left="4320" w:hanging="360"/>
      </w:pPr>
      <w:rPr>
        <w:strike w:val="0"/>
        <w:dstrike w:val="0"/>
        <w:u w:val="none"/>
      </w:rPr>
    </w:lvl>
    <w:lvl w:ilvl="5">
      <w:start w:val="1"/>
      <w:numFmt w:val="lowerRoman"/>
      <w:lvlText w:val="%6."/>
      <w:lvlJc w:val="right"/>
      <w:pPr>
        <w:ind w:left="5040" w:hanging="360"/>
      </w:pPr>
      <w:rPr>
        <w:strike w:val="0"/>
        <w:dstrike w:val="0"/>
        <w:u w:val="none"/>
      </w:rPr>
    </w:lvl>
    <w:lvl w:ilvl="6">
      <w:start w:val="1"/>
      <w:numFmt w:val="decimal"/>
      <w:lvlText w:val="%7."/>
      <w:lvlJc w:val="left"/>
      <w:pPr>
        <w:ind w:left="5760" w:hanging="360"/>
      </w:pPr>
      <w:rPr>
        <w:strike w:val="0"/>
        <w:dstrike w:val="0"/>
        <w:u w:val="none"/>
      </w:rPr>
    </w:lvl>
    <w:lvl w:ilvl="7">
      <w:start w:val="1"/>
      <w:numFmt w:val="lowerLetter"/>
      <w:lvlText w:val="%8."/>
      <w:lvlJc w:val="left"/>
      <w:pPr>
        <w:ind w:left="6480" w:hanging="360"/>
      </w:pPr>
      <w:rPr>
        <w:strike w:val="0"/>
        <w:dstrike w:val="0"/>
        <w:u w:val="none"/>
      </w:rPr>
    </w:lvl>
    <w:lvl w:ilvl="8">
      <w:start w:val="1"/>
      <w:numFmt w:val="lowerRoman"/>
      <w:lvlText w:val="%9."/>
      <w:lvlJc w:val="right"/>
      <w:pPr>
        <w:ind w:left="7200" w:hanging="360"/>
      </w:pPr>
      <w:rPr>
        <w:strike w:val="0"/>
        <w:dstrike w:val="0"/>
        <w:u w:val="no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6"/>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B707D5"/>
    <w:rsid w:val="00024A4E"/>
    <w:rsid w:val="00053D31"/>
    <w:rsid w:val="000E2370"/>
    <w:rsid w:val="000E3279"/>
    <w:rsid w:val="000F1336"/>
    <w:rsid w:val="001130E4"/>
    <w:rsid w:val="00164C0B"/>
    <w:rsid w:val="001E7DEA"/>
    <w:rsid w:val="00204FEC"/>
    <w:rsid w:val="00237C86"/>
    <w:rsid w:val="00312AA7"/>
    <w:rsid w:val="00312D80"/>
    <w:rsid w:val="003437C3"/>
    <w:rsid w:val="00344F1E"/>
    <w:rsid w:val="003A6A56"/>
    <w:rsid w:val="00536D59"/>
    <w:rsid w:val="006B7406"/>
    <w:rsid w:val="007A2FBF"/>
    <w:rsid w:val="007D54BC"/>
    <w:rsid w:val="008B708B"/>
    <w:rsid w:val="009321D7"/>
    <w:rsid w:val="00933674"/>
    <w:rsid w:val="009420B1"/>
    <w:rsid w:val="00952FFC"/>
    <w:rsid w:val="00965066"/>
    <w:rsid w:val="00A81884"/>
    <w:rsid w:val="00AB4FD4"/>
    <w:rsid w:val="00AC4DBB"/>
    <w:rsid w:val="00B707D5"/>
    <w:rsid w:val="00B93843"/>
    <w:rsid w:val="00BC35BD"/>
    <w:rsid w:val="00C83E93"/>
    <w:rsid w:val="00D67B56"/>
    <w:rsid w:val="00EB0ED2"/>
    <w:rsid w:val="00EC656E"/>
    <w:rsid w:val="00FE7C51"/>
    <w:rsid w:val="0C566E94"/>
    <w:rsid w:val="42B807B4"/>
    <w:rsid w:val="55A85FC9"/>
    <w:rsid w:val="60826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D59"/>
    <w:pPr>
      <w:spacing w:after="160" w:line="259" w:lineRule="auto"/>
    </w:pPr>
    <w:rPr>
      <w:sz w:val="22"/>
      <w:szCs w:val="22"/>
    </w:rPr>
  </w:style>
  <w:style w:type="paragraph" w:styleId="1">
    <w:name w:val="heading 1"/>
    <w:basedOn w:val="a"/>
    <w:next w:val="a"/>
    <w:uiPriority w:val="9"/>
    <w:qFormat/>
    <w:rsid w:val="00536D59"/>
    <w:pPr>
      <w:keepNext/>
      <w:keepLines/>
      <w:spacing w:before="240" w:after="0"/>
      <w:outlineLvl w:val="0"/>
    </w:pPr>
    <w:rPr>
      <w:color w:val="2E75B5"/>
      <w:sz w:val="32"/>
      <w:szCs w:val="32"/>
    </w:rPr>
  </w:style>
  <w:style w:type="paragraph" w:styleId="2">
    <w:name w:val="heading 2"/>
    <w:basedOn w:val="a"/>
    <w:next w:val="a"/>
    <w:uiPriority w:val="9"/>
    <w:semiHidden/>
    <w:unhideWhenUsed/>
    <w:qFormat/>
    <w:rsid w:val="00536D59"/>
    <w:pPr>
      <w:keepNext/>
      <w:keepLines/>
      <w:spacing w:before="360" w:after="80"/>
      <w:outlineLvl w:val="1"/>
    </w:pPr>
    <w:rPr>
      <w:b/>
      <w:sz w:val="36"/>
      <w:szCs w:val="36"/>
    </w:rPr>
  </w:style>
  <w:style w:type="paragraph" w:styleId="3">
    <w:name w:val="heading 3"/>
    <w:basedOn w:val="a"/>
    <w:next w:val="a"/>
    <w:uiPriority w:val="9"/>
    <w:semiHidden/>
    <w:unhideWhenUsed/>
    <w:qFormat/>
    <w:rsid w:val="00536D59"/>
    <w:pPr>
      <w:keepNext/>
      <w:keepLines/>
      <w:spacing w:before="280" w:after="80"/>
      <w:outlineLvl w:val="2"/>
    </w:pPr>
    <w:rPr>
      <w:b/>
      <w:sz w:val="28"/>
      <w:szCs w:val="28"/>
    </w:rPr>
  </w:style>
  <w:style w:type="paragraph" w:styleId="4">
    <w:name w:val="heading 4"/>
    <w:basedOn w:val="a"/>
    <w:next w:val="a"/>
    <w:uiPriority w:val="9"/>
    <w:semiHidden/>
    <w:unhideWhenUsed/>
    <w:qFormat/>
    <w:rsid w:val="00536D59"/>
    <w:pPr>
      <w:keepNext/>
      <w:keepLines/>
      <w:spacing w:before="240" w:after="40"/>
      <w:outlineLvl w:val="3"/>
    </w:pPr>
    <w:rPr>
      <w:b/>
      <w:sz w:val="24"/>
      <w:szCs w:val="24"/>
    </w:rPr>
  </w:style>
  <w:style w:type="paragraph" w:styleId="5">
    <w:name w:val="heading 5"/>
    <w:basedOn w:val="a"/>
    <w:next w:val="a"/>
    <w:uiPriority w:val="9"/>
    <w:semiHidden/>
    <w:unhideWhenUsed/>
    <w:qFormat/>
    <w:rsid w:val="00536D59"/>
    <w:pPr>
      <w:keepNext/>
      <w:keepLines/>
      <w:spacing w:before="220" w:after="40"/>
      <w:outlineLvl w:val="4"/>
    </w:pPr>
    <w:rPr>
      <w:b/>
    </w:rPr>
  </w:style>
  <w:style w:type="paragraph" w:styleId="6">
    <w:name w:val="heading 6"/>
    <w:basedOn w:val="a"/>
    <w:next w:val="a"/>
    <w:uiPriority w:val="9"/>
    <w:semiHidden/>
    <w:unhideWhenUsed/>
    <w:qFormat/>
    <w:rsid w:val="00536D5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536D59"/>
    <w:rPr>
      <w:vertAlign w:val="superscript"/>
    </w:rPr>
  </w:style>
  <w:style w:type="character" w:styleId="a4">
    <w:name w:val="Hyperlink"/>
    <w:basedOn w:val="a0"/>
    <w:uiPriority w:val="99"/>
    <w:unhideWhenUsed/>
    <w:qFormat/>
    <w:rsid w:val="00536D59"/>
    <w:rPr>
      <w:color w:val="0000FF" w:themeColor="hyperlink"/>
      <w:u w:val="single"/>
    </w:rPr>
  </w:style>
  <w:style w:type="character" w:styleId="a5">
    <w:name w:val="Strong"/>
    <w:basedOn w:val="a0"/>
    <w:uiPriority w:val="22"/>
    <w:qFormat/>
    <w:rsid w:val="00536D59"/>
    <w:rPr>
      <w:b/>
      <w:bCs/>
    </w:rPr>
  </w:style>
  <w:style w:type="paragraph" w:styleId="a6">
    <w:name w:val="Balloon Text"/>
    <w:basedOn w:val="a"/>
    <w:link w:val="a7"/>
    <w:uiPriority w:val="99"/>
    <w:semiHidden/>
    <w:unhideWhenUsed/>
    <w:qFormat/>
    <w:rsid w:val="00536D59"/>
    <w:pPr>
      <w:spacing w:after="0" w:line="240" w:lineRule="auto"/>
    </w:pPr>
    <w:rPr>
      <w:rFonts w:ascii="Tahoma" w:eastAsia="Times New Roman" w:hAnsi="Tahoma" w:cs="Tahoma"/>
      <w:sz w:val="16"/>
      <w:szCs w:val="16"/>
    </w:rPr>
  </w:style>
  <w:style w:type="paragraph" w:styleId="a8">
    <w:name w:val="footnote text"/>
    <w:basedOn w:val="a"/>
    <w:link w:val="a9"/>
    <w:uiPriority w:val="99"/>
    <w:semiHidden/>
    <w:unhideWhenUsed/>
    <w:qFormat/>
    <w:rsid w:val="00536D59"/>
    <w:pPr>
      <w:spacing w:after="0" w:line="240" w:lineRule="auto"/>
    </w:pPr>
    <w:rPr>
      <w:rFonts w:asciiTheme="minorHAnsi" w:eastAsiaTheme="minorHAnsi" w:hAnsiTheme="minorHAnsi" w:cstheme="minorBidi"/>
      <w:sz w:val="20"/>
      <w:szCs w:val="20"/>
      <w:lang w:eastAsia="en-US"/>
    </w:rPr>
  </w:style>
  <w:style w:type="paragraph" w:styleId="aa">
    <w:name w:val="header"/>
    <w:basedOn w:val="a"/>
    <w:link w:val="ab"/>
    <w:uiPriority w:val="99"/>
    <w:unhideWhenUsed/>
    <w:qFormat/>
    <w:rsid w:val="00536D59"/>
    <w:pPr>
      <w:tabs>
        <w:tab w:val="center" w:pos="4677"/>
        <w:tab w:val="right" w:pos="9355"/>
      </w:tabs>
      <w:spacing w:after="0" w:line="240" w:lineRule="auto"/>
    </w:pPr>
    <w:rPr>
      <w:rFonts w:asciiTheme="minorHAnsi" w:eastAsiaTheme="minorHAnsi" w:hAnsiTheme="minorHAnsi" w:cstheme="minorBidi"/>
      <w:lang w:eastAsia="en-US"/>
    </w:rPr>
  </w:style>
  <w:style w:type="paragraph" w:styleId="ac">
    <w:name w:val="Title"/>
    <w:basedOn w:val="a"/>
    <w:next w:val="a"/>
    <w:uiPriority w:val="10"/>
    <w:qFormat/>
    <w:rsid w:val="00536D59"/>
    <w:pPr>
      <w:keepNext/>
      <w:keepLines/>
      <w:spacing w:before="480" w:after="120"/>
    </w:pPr>
    <w:rPr>
      <w:b/>
      <w:sz w:val="72"/>
      <w:szCs w:val="72"/>
    </w:rPr>
  </w:style>
  <w:style w:type="paragraph" w:styleId="ad">
    <w:name w:val="Normal (Web)"/>
    <w:basedOn w:val="a"/>
    <w:uiPriority w:val="99"/>
    <w:unhideWhenUsed/>
    <w:qFormat/>
    <w:rsid w:val="00536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e">
    <w:name w:val="Subtitle"/>
    <w:basedOn w:val="a"/>
    <w:next w:val="a"/>
    <w:uiPriority w:val="11"/>
    <w:qFormat/>
    <w:rsid w:val="00536D59"/>
    <w:pPr>
      <w:keepNext/>
      <w:keepLines/>
      <w:spacing w:before="360" w:after="80"/>
    </w:pPr>
    <w:rPr>
      <w:rFonts w:ascii="Georgia" w:eastAsia="Georgia" w:hAnsi="Georgia" w:cs="Georgia"/>
      <w:i/>
      <w:color w:val="666666"/>
      <w:sz w:val="48"/>
      <w:szCs w:val="48"/>
    </w:rPr>
  </w:style>
  <w:style w:type="table" w:styleId="af">
    <w:name w:val="Table Grid"/>
    <w:basedOn w:val="a1"/>
    <w:uiPriority w:val="39"/>
    <w:qFormat/>
    <w:rsid w:val="00536D59"/>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536D59"/>
    <w:tblPr>
      <w:tblCellMar>
        <w:top w:w="0" w:type="dxa"/>
        <w:left w:w="0" w:type="dxa"/>
        <w:bottom w:w="0" w:type="dxa"/>
        <w:right w:w="0" w:type="dxa"/>
      </w:tblCellMar>
    </w:tblPr>
  </w:style>
  <w:style w:type="character" w:customStyle="1" w:styleId="UnresolvedMention">
    <w:name w:val="Unresolved Mention"/>
    <w:basedOn w:val="a0"/>
    <w:uiPriority w:val="99"/>
    <w:semiHidden/>
    <w:unhideWhenUsed/>
    <w:qFormat/>
    <w:rsid w:val="00536D59"/>
    <w:rPr>
      <w:color w:val="605E5C"/>
      <w:shd w:val="clear" w:color="auto" w:fill="E1DFDD"/>
    </w:rPr>
  </w:style>
  <w:style w:type="character" w:customStyle="1" w:styleId="t286pc">
    <w:name w:val="t286pc"/>
    <w:basedOn w:val="a0"/>
    <w:qFormat/>
    <w:rsid w:val="00536D59"/>
  </w:style>
  <w:style w:type="paragraph" w:customStyle="1" w:styleId="z1qcye">
    <w:name w:val="z1qcye"/>
    <w:basedOn w:val="a"/>
    <w:qFormat/>
    <w:rsid w:val="00536D5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uiPriority w:val="99"/>
    <w:qFormat/>
    <w:rsid w:val="00536D59"/>
    <w:pPr>
      <w:ind w:left="720"/>
      <w:contextualSpacing/>
    </w:pPr>
    <w:rPr>
      <w:rFonts w:cs="Mangal"/>
      <w:szCs w:val="20"/>
      <w:lang w:eastAsia="en-US" w:bidi="hi-IN"/>
    </w:rPr>
  </w:style>
  <w:style w:type="paragraph" w:customStyle="1" w:styleId="min-w-0">
    <w:name w:val="min-w-0"/>
    <w:basedOn w:val="a"/>
    <w:qFormat/>
    <w:rsid w:val="00536D5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font-semibold">
    <w:name w:val="font-semibold"/>
    <w:basedOn w:val="a0"/>
    <w:qFormat/>
    <w:rsid w:val="00536D59"/>
  </w:style>
  <w:style w:type="character" w:customStyle="1" w:styleId="a7">
    <w:name w:val="Текст выноски Знак"/>
    <w:basedOn w:val="a0"/>
    <w:link w:val="a6"/>
    <w:uiPriority w:val="99"/>
    <w:semiHidden/>
    <w:qFormat/>
    <w:rsid w:val="00536D59"/>
    <w:rPr>
      <w:rFonts w:ascii="Tahoma" w:eastAsia="Times New Roman" w:hAnsi="Tahoma" w:cs="Tahoma"/>
      <w:sz w:val="16"/>
      <w:szCs w:val="16"/>
    </w:rPr>
  </w:style>
  <w:style w:type="character" w:customStyle="1" w:styleId="a9">
    <w:name w:val="Текст сноски Знак"/>
    <w:basedOn w:val="a0"/>
    <w:link w:val="a8"/>
    <w:uiPriority w:val="99"/>
    <w:semiHidden/>
    <w:qFormat/>
    <w:rsid w:val="00536D59"/>
    <w:rPr>
      <w:rFonts w:asciiTheme="minorHAnsi" w:eastAsiaTheme="minorHAnsi" w:hAnsiTheme="minorHAnsi" w:cstheme="minorBidi"/>
      <w:sz w:val="20"/>
      <w:szCs w:val="20"/>
      <w:lang w:eastAsia="en-US"/>
    </w:rPr>
  </w:style>
  <w:style w:type="character" w:customStyle="1" w:styleId="ab">
    <w:name w:val="Верхний колонтитул Знак"/>
    <w:basedOn w:val="a0"/>
    <w:link w:val="aa"/>
    <w:uiPriority w:val="99"/>
    <w:qFormat/>
    <w:rsid w:val="00536D59"/>
    <w:rPr>
      <w:rFonts w:asciiTheme="minorHAnsi" w:eastAsiaTheme="minorHAnsi" w:hAnsiTheme="minorHAnsi" w:cstheme="minorBidi"/>
      <w:lang w:eastAsia="en-US"/>
    </w:rPr>
  </w:style>
  <w:style w:type="paragraph" w:customStyle="1" w:styleId="10">
    <w:name w:val="Обычный1"/>
    <w:rsid w:val="00536D59"/>
    <w:pPr>
      <w:spacing w:after="160" w:line="259" w:lineRule="auto"/>
    </w:pPr>
    <w:rPr>
      <w:sz w:val="22"/>
      <w:szCs w:val="22"/>
    </w:rPr>
  </w:style>
  <w:style w:type="character" w:customStyle="1" w:styleId="ezkurwreuab5ozgtqnkl">
    <w:name w:val="ezkurwreuab5ozgtqnkl"/>
    <w:basedOn w:val="a0"/>
    <w:uiPriority w:val="99"/>
    <w:qFormat/>
    <w:rsid w:val="00536D59"/>
    <w:rPr>
      <w:rFonts w:cs="Times New Roman"/>
    </w:rPr>
  </w:style>
  <w:style w:type="paragraph" w:customStyle="1" w:styleId="ds-markdown-paragraph">
    <w:name w:val="ds-markdown-paragraph"/>
    <w:basedOn w:val="a"/>
    <w:qFormat/>
    <w:rsid w:val="00536D59"/>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link w:val="af2"/>
    <w:uiPriority w:val="1"/>
    <w:qFormat/>
    <w:rsid w:val="00536D59"/>
    <w:rPr>
      <w:rFonts w:asciiTheme="minorHAnsi" w:eastAsiaTheme="minorEastAsia" w:hAnsiTheme="minorHAnsi" w:cstheme="minorBidi"/>
      <w:sz w:val="22"/>
      <w:szCs w:val="22"/>
    </w:rPr>
  </w:style>
  <w:style w:type="character" w:customStyle="1" w:styleId="af2">
    <w:name w:val="Без интервала Знак"/>
    <w:link w:val="af1"/>
    <w:uiPriority w:val="1"/>
    <w:qFormat/>
    <w:locked/>
    <w:rsid w:val="00536D59"/>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ichailova_ad@m.msu.by" TargetMode="External"/><Relationship Id="rId13" Type="http://schemas.openxmlformats.org/officeDocument/2006/relationships/hyperlink" Target="mailto:PS.Shcherbakova@yandex.by" TargetMode="External"/><Relationship Id="rId3" Type="http://schemas.openxmlformats.org/officeDocument/2006/relationships/settings" Target="settings.xml"/><Relationship Id="rId7" Type="http://schemas.openxmlformats.org/officeDocument/2006/relationships/hyperlink" Target="http://www.kremlin.ru/acts/bank/49210" TargetMode="External"/><Relationship Id="rId12" Type="http://schemas.openxmlformats.org/officeDocument/2006/relationships/hyperlink" Target="https://bsu.by/mezhdunarodnoe-sotrudnichestvo/programmy-obucheniya-za-rubezhom/?clear_cache=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gov.by/news/ministerstvo-obrazovaniya-utverdilo-poryadok-uchastiya-v-mezhdunarodnykh-obrazovatelnykh-programmakh/" TargetMode="External"/><Relationship Id="rId5" Type="http://schemas.openxmlformats.org/officeDocument/2006/relationships/footnotes" Target="footnotes.xml"/><Relationship Id="rId15" Type="http://schemas.openxmlformats.org/officeDocument/2006/relationships/hyperlink" Target="https://docs.un.org/ru/A/RES/70/1" TargetMode="External"/><Relationship Id="rId10" Type="http://schemas.openxmlformats.org/officeDocument/2006/relationships/hyperlink" Target="https://belta.by/society/view/posol-belorusskie-vuzy-kotirujutsja-v-kitae-rastet-chislo-studentov-iz-raznyh-provintsij-727946-2025/" TargetMode="External"/><Relationship Id="rId4" Type="http://schemas.openxmlformats.org/officeDocument/2006/relationships/webSettings" Target="webSettings.xml"/><Relationship Id="rId9" Type="http://schemas.openxmlformats.org/officeDocument/2006/relationships/hyperlink" Target="https://www.belstat.gov.by/upload/iblock/9be/bw58kf25iyvf50lhg5ggffbiroi4haqa.pdf" TargetMode="External"/><Relationship Id="rId14" Type="http://schemas.openxmlformats.org/officeDocument/2006/relationships/hyperlink" Target="https://economy.gov.by/uploads/files/NSUR/natsionalnaja-strategija-ustojchivogo-razvitija-respubliki-belarus-na-period-do-2040-go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26</Pages>
  <Words>9314</Words>
  <Characters>53090</Characters>
  <Application>Microsoft Office Word</Application>
  <DocSecurity>0</DocSecurity>
  <Lines>442</Lines>
  <Paragraphs>124</Paragraphs>
  <ScaleCrop>false</ScaleCrop>
  <Company>home</Company>
  <LinksUpToDate>false</LinksUpToDate>
  <CharactersWithSpaces>62280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Balda</dc:creator>
  <cp:lastModifiedBy>DNA7 X64</cp:lastModifiedBy>
  <cp:revision>17</cp:revision>
  <dcterms:created xsi:type="dcterms:W3CDTF">2026-04-28T13:35:00Z</dcterms:created>
  <dcterms:modified xsi:type="dcterms:W3CDTF">2026-06-01T09:18:00Z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FEC405C3EA8745AABC8C54EF0E35649E_13</vt:lpwstr>
  </property>
  <property fmtid="{D5CDD505-2E9C-101B-9397-08002B2CF9AE}" pid="4" name="KSOTemplateDocerSaveRecord">
    <vt:lpwstr>eyJoZGlkIjoiMzQ5ODIwYWRjYzlmMTBhMjhlOWZiNThlMzRiOGY1NGMifQ==</vt:lpwstr>
  </property>
</Properties>
</file>